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3321F" w:rsidRPr="00F3321F" w:rsidRDefault="00F3321F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F3321F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F3321F" w:rsidRDefault="00FF309B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F3321F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40620A">
        <w:rPr>
          <w:rFonts w:ascii="Calibri" w:hAnsi="Calibri" w:cs="Calibri"/>
          <w:color w:val="auto"/>
          <w:sz w:val="44"/>
          <w:szCs w:val="44"/>
          <w:lang w:val="el-GR"/>
        </w:rPr>
        <w:t>ΑΠΡΙΛΙΟΣ</w:t>
      </w:r>
      <w:r w:rsidR="00FF7679" w:rsidRPr="00F3321F">
        <w:rPr>
          <w:rFonts w:ascii="Calibri" w:hAnsi="Calibri" w:cs="Calibri"/>
          <w:color w:val="auto"/>
          <w:sz w:val="44"/>
          <w:szCs w:val="44"/>
          <w:lang w:val="el-GR"/>
        </w:rPr>
        <w:t xml:space="preserve"> 2016</w:t>
      </w: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561E40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561E40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F3321F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F3321F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ΕΡΓΑΣΙΑΣ, ΤΜΗΜΑ ΕΡΓΑΣΙΑΣ</w:t>
      </w:r>
    </w:p>
    <w:p w:rsidR="00FF7679" w:rsidRPr="00561E40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561E40" w:rsidRDefault="00F3321F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274B3" w:rsidRDefault="00FF7679" w:rsidP="00F3321F">
      <w:pPr>
        <w:pBdr>
          <w:top w:val="thinThickLargeGap" w:sz="24" w:space="0" w:color="244061"/>
          <w:left w:val="thinThickLargeGap" w:sz="24" w:space="4" w:color="244061"/>
          <w:bottom w:val="thickThinLargeGap" w:sz="24" w:space="0" w:color="244061"/>
          <w:right w:val="thickThinLargeGap" w:sz="24" w:space="4" w:color="244061"/>
        </w:pBdr>
        <w:shd w:val="clear" w:color="auto" w:fill="E5B8B7" w:themeFill="accent2" w:themeFillTint="66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ΚΕΦΑΛΑΙΑ</w:t>
      </w:r>
      <w:r w:rsidR="00FF7679" w:rsidRPr="00FF7679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 Ι: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3E45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των στοιχείων της Εγγεγραμμένης Ανεργίας και των στοιχείων ανεργίας και απασχόλησης από την Έρευνα Εργατικού Δυναμικού, τη </w:t>
      </w:r>
      <w:r w:rsidR="003E45D7">
        <w:rPr>
          <w:rFonts w:ascii="Calibri" w:hAnsi="Calibri" w:cs="Calibri"/>
          <w:b w:val="0"/>
          <w:bCs w:val="0"/>
          <w:color w:val="auto"/>
          <w:sz w:val="22"/>
          <w:szCs w:val="22"/>
        </w:rPr>
        <w:t>EUROSTAT</w:t>
      </w:r>
      <w:r w:rsidR="003E45D7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σχετικοί Πίνακες</w:t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561E40">
        <w:rPr>
          <w:rFonts w:ascii="Calibri" w:hAnsi="Calibri" w:cs="Calibri"/>
          <w:color w:val="auto"/>
          <w:lang w:val="el-GR"/>
        </w:rPr>
        <w:t xml:space="preserve"> 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ΙΙ: 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Ανάλυση στοιχείων εγγεγραμμένης ανεργίας κατά επαρχία και σχετικοί Πίνακες </w:t>
      </w:r>
    </w:p>
    <w:p w:rsidR="00FF7679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color w:val="auto"/>
          <w:lang w:val="el-GR"/>
        </w:rPr>
      </w:pPr>
    </w:p>
    <w:p w:rsidR="00FF7679" w:rsidRPr="00FF7679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561E40">
        <w:rPr>
          <w:rFonts w:ascii="Calibri" w:hAnsi="Calibri" w:cs="Calibri"/>
          <w:color w:val="auto"/>
          <w:lang w:val="el-GR"/>
        </w:rPr>
        <w:t>ΚΕΦΑΛΑΙΟ</w:t>
      </w:r>
      <w:r w:rsidR="00FF7679" w:rsidRPr="00FF7679">
        <w:rPr>
          <w:rFonts w:ascii="Calibri" w:hAnsi="Calibri" w:cs="Calibri"/>
          <w:color w:val="auto"/>
          <w:lang w:val="el-GR"/>
        </w:rPr>
        <w:t xml:space="preserve"> ΙΙΙ:</w:t>
      </w:r>
      <w:r w:rsidR="00FF7679" w:rsidRPr="00FF7679">
        <w:rPr>
          <w:rFonts w:ascii="Calibri" w:hAnsi="Calibri" w:cs="Calibri"/>
          <w:b w:val="0"/>
          <w:bCs w:val="0"/>
          <w:color w:val="auto"/>
          <w:lang w:val="el-GR"/>
        </w:rPr>
        <w:t xml:space="preserve"> Ανάλυση του προφίλ των εγγεγραμμένων ανέργων στην κατηγορία «νεοεισερχόμενος»,  των μακροχρόνια ανέργων και σχετικοί Πίνακες</w:t>
      </w:r>
    </w:p>
    <w:p w:rsidR="00FF7679" w:rsidRPr="00124782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 w:themeFill="accent2" w:themeFillTint="66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46722B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46722B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46722B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9.41.002.1 </w:t>
      </w:r>
    </w:p>
    <w:p w:rsidR="004274B3" w:rsidRPr="004274B3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CC4132" w:rsidRPr="00CC413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98616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46722B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/201</w:t>
      </w:r>
      <w:r w:rsidR="00CC4132" w:rsidRPr="00CC4132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="004274B3">
        <w:rPr>
          <w:rFonts w:ascii="Calibri" w:hAnsi="Calibri" w:cs="Calibri"/>
          <w:color w:val="auto"/>
          <w:lang w:val="el-GR"/>
        </w:rPr>
        <w:t xml:space="preserve"> </w:t>
      </w:r>
    </w:p>
    <w:p w:rsidR="004274B3" w:rsidRDefault="004274B3" w:rsidP="007C5573">
      <w:pPr>
        <w:spacing w:line="276" w:lineRule="auto"/>
        <w:ind w:left="1440" w:firstLine="720"/>
        <w:rPr>
          <w:rFonts w:ascii="Calibri" w:hAnsi="Calibri" w:cs="Calibri"/>
          <w:noProof/>
          <w:color w:val="auto"/>
          <w:sz w:val="22"/>
          <w:szCs w:val="22"/>
          <w:lang w:val="el-GR"/>
        </w:rPr>
      </w:pPr>
    </w:p>
    <w:p w:rsidR="004274B3" w:rsidRDefault="00561E40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ΚΕΦΑΛΑΙΟ</w:t>
      </w:r>
      <w:r w:rsidR="004274B3" w:rsidRPr="004274B3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 xml:space="preserve"> Ι</w:t>
      </w:r>
    </w:p>
    <w:p w:rsidR="004274B3" w:rsidRPr="00561E40" w:rsidRDefault="003E45D7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Ανάλυση των στοιχείων της Εγγεγραμμένης Ανεργίας και των στοιχείων ανεργίας και απασχόλησης από την Έρευνα Εργατικού Δυναμικού, τη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EUROSTAT</w:t>
      </w:r>
      <w: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και σχετικοί Πίνακες </w:t>
      </w:r>
      <w:r w:rsidR="007A5F4C" w:rsidRPr="007A5F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4B082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1-</w:t>
      </w:r>
      <w:r w:rsidR="004B0820" w:rsidRPr="004B082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13</w:t>
      </w:r>
    </w:p>
    <w:p w:rsidR="00F3321F" w:rsidRPr="00F3321F" w:rsidRDefault="0098616B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color w:val="auto"/>
          <w:sz w:val="28"/>
          <w:szCs w:val="28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Απρίλιος</w:t>
      </w:r>
      <w:r w:rsidR="00F3321F" w:rsidRPr="00F332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2016</w:t>
      </w:r>
    </w:p>
    <w:p w:rsidR="00D90A94" w:rsidRPr="0046722B" w:rsidRDefault="00D90A94" w:rsidP="008F7757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  <w:r w:rsidRPr="0046722B">
        <w:rPr>
          <w:rFonts w:ascii="Calibri" w:hAnsi="Calibri" w:cs="Calibri"/>
          <w:noProof/>
          <w:color w:val="auto"/>
          <w:sz w:val="22"/>
          <w:szCs w:val="22"/>
          <w:lang w:val="el-GR"/>
        </w:rPr>
        <w:tab/>
      </w:r>
    </w:p>
    <w:p w:rsidR="00D90A94" w:rsidRPr="00EE78AE" w:rsidRDefault="00D90A94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Οι επιπτώσεις της παγκόσμιας οικονομικής κρίσης στην αγορά εργασίας εμφανίστηκαν στην Κύπρο από τα τέλη του 2008. Μεταξύ του 2008 και του 201</w:t>
      </w:r>
      <w:r w:rsidR="00B06A25"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η ανεργία από 3</w:t>
      </w:r>
      <w:r w:rsidR="004C7AEB"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  <w:r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8% έφτασε στο 1</w:t>
      </w:r>
      <w:r w:rsidR="00B06A25"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5,</w:t>
      </w:r>
      <w:r w:rsidR="008F7757"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0%,</w:t>
      </w:r>
      <w:r w:rsidR="00B06A25"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E78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συνεπεία της σταδιακής αλλά συνεχούς μείωσης της οικονομικής δραστηριότητας εξαιτίας της οικονομικής ύφεσης. </w:t>
      </w:r>
    </w:p>
    <w:p w:rsidR="00293A29" w:rsidRPr="00EE78AE" w:rsidRDefault="00293A29" w:rsidP="00293A29">
      <w:pPr>
        <w:spacing w:after="240" w:line="276" w:lineRule="auto"/>
        <w:jc w:val="both"/>
        <w:rPr>
          <w:rFonts w:ascii="Calibri" w:hAnsi="Calibri" w:cs="Arial"/>
          <w:b w:val="0"/>
          <w:color w:val="auto"/>
          <w:spacing w:val="4"/>
          <w:sz w:val="12"/>
          <w:szCs w:val="12"/>
          <w:lang w:val="el-GR"/>
        </w:rPr>
      </w:pPr>
    </w:p>
    <w:p w:rsidR="008F7757" w:rsidRPr="00EE78AE" w:rsidRDefault="008F7757" w:rsidP="00293A29">
      <w:pPr>
        <w:spacing w:after="240" w:line="276" w:lineRule="auto"/>
        <w:jc w:val="both"/>
        <w:rPr>
          <w:rFonts w:ascii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</w:pP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Με βάση τα αποτελέσματα της Έρευνας Εργατικού Δυναμικού (τελευταία διαθέσιμα στοιχεία), 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το ποσοστό ανεργίας 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κατά το 2015 έφτασε στο 15,0%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(ετήσιος μέσος όρος)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, μειωμένο κατά 1,1 ποσοστιαίες μονάδες σε σχέση με τον ετήσιο μέσο όρο του 2014. 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</w:rPr>
        <w:t>T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ο ποσοστό ανεργίας κατά το 4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 ανερχόταν στο 12,8% του εργατικού δυναμικού, μειωμένο κατά 3,2 ποσοστιαίες μονάδες σε σχέση με το αντίστοιχο τρίμηνο του 2014, ενώ μειώθηκε κατά 2,0 ποσοστιαίες μονάδες σε σχέση με το 3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 </w:t>
      </w:r>
    </w:p>
    <w:p w:rsidR="00D17896" w:rsidRPr="00EE78AE" w:rsidRDefault="00D17896" w:rsidP="00293A29">
      <w:pPr>
        <w:pStyle w:val="ListParagraph"/>
        <w:spacing w:line="276" w:lineRule="auto"/>
        <w:ind w:left="0"/>
        <w:jc w:val="both"/>
        <w:rPr>
          <w:rFonts w:asciiTheme="minorHAnsi" w:hAnsiTheme="minorHAnsi" w:cs="Calibri"/>
          <w:b w:val="0"/>
          <w:bCs w:val="0"/>
          <w:color w:val="auto"/>
          <w:sz w:val="12"/>
          <w:szCs w:val="12"/>
          <w:lang w:val="el-GR"/>
        </w:rPr>
      </w:pPr>
    </w:p>
    <w:p w:rsidR="00D90579" w:rsidRPr="00EE78AE" w:rsidRDefault="007E7EAF" w:rsidP="00293A2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</w:pP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Ο αριθμός των απασχολούμενων (15+) κατά το 201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="008F7757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ανερχόταν στις 3</w:t>
      </w:r>
      <w:r w:rsidR="008F7757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60,653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</w:t>
      </w:r>
      <w:r w:rsidR="008F7757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(ετήσιος μέσος όρος)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 σε σύγκριση με 3</w:t>
      </w:r>
      <w:r w:rsidR="00A80A93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62,741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χιλιάδες το </w:t>
      </w:r>
      <w:r w:rsidR="00293A29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2014. Το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ποσοστό απασχόλησης των ατόμων 20-64 ετών ανήλθε στο 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="0016732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</w:t>
      </w:r>
      <w:r w:rsidR="00293A29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,9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% το 201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5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σημειώνοντας</w:t>
      </w:r>
      <w:r w:rsidR="00047567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80A93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μικρή </w:t>
      </w:r>
      <w:r w:rsidR="00293A29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αύξηση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0</w:t>
      </w:r>
      <w:r w:rsidR="0016732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,</w:t>
      </w:r>
      <w:r w:rsidR="00A80A93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3</w:t>
      </w:r>
      <w:r w:rsidR="00034651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ποσοστιαί</w:t>
      </w:r>
      <w:r w:rsidR="00293A29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ε</w:t>
      </w:r>
      <w:r w:rsidR="00495C5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μονάδ</w:t>
      </w:r>
      <w:r w:rsidR="00293A29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ε</w:t>
      </w:r>
      <w:r w:rsidR="00495C5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ς σε σχέση με το 201</w:t>
      </w:r>
      <w:r w:rsidR="00A65A2B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4</w:t>
      </w:r>
      <w:r w:rsidR="00495C5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(6</w:t>
      </w:r>
      <w:r w:rsidR="0016732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7,</w:t>
      </w:r>
      <w:r w:rsidR="00A80A93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6</w:t>
      </w:r>
      <w:r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>%).</w:t>
      </w:r>
      <w:r w:rsidR="00495C55" w:rsidRPr="00EE78AE">
        <w:rPr>
          <w:rFonts w:asciiTheme="minorHAnsi" w:hAnsiTheme="minorHAns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</w:rPr>
        <w:t>T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ο ποσοστό απασχόλησης κατά το 4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 ανερχόταν στο 68,3% του εργατικού δυναμικού, μειωμένο οριακά κατά 0,1 ποσοστιαίες μονάδες σε σχέση με το αντίστοιχο τρίμηνο του 2014 (68,4%), ενώ αυξήθηκε κατά 0,7 ποσοστιαίες μονάδες σε σχέση με το 3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293A29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 τρίμηνο του 2015.</w:t>
      </w:r>
    </w:p>
    <w:p w:rsidR="00D90579" w:rsidRPr="00EE78AE" w:rsidRDefault="00D90579" w:rsidP="00293A29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color w:val="auto"/>
          <w:spacing w:val="4"/>
          <w:sz w:val="22"/>
          <w:szCs w:val="22"/>
          <w:lang w:val="el-GR"/>
        </w:rPr>
      </w:pPr>
    </w:p>
    <w:p w:rsidR="0018719C" w:rsidRPr="00EE78AE" w:rsidRDefault="00F31ACE" w:rsidP="007C5573">
      <w:pPr>
        <w:pStyle w:val="ListParagraph"/>
        <w:spacing w:line="276" w:lineRule="auto"/>
        <w:ind w:left="0"/>
        <w:jc w:val="both"/>
        <w:rPr>
          <w:rStyle w:val="apple-converted-space"/>
          <w:rFonts w:ascii="Calibri" w:hAnsi="Calibri" w:cs="Arial"/>
          <w:b w:val="0"/>
          <w:color w:val="auto"/>
          <w:sz w:val="22"/>
          <w:szCs w:val="22"/>
          <w:shd w:val="clear" w:color="auto" w:fill="FFFFFF"/>
          <w:lang w:val="el-GR"/>
        </w:rPr>
      </w:pPr>
      <w:r w:rsidRPr="00EE78AE">
        <w:rPr>
          <w:rFonts w:ascii="Calibri" w:hAnsi="Calibri" w:cs="Arial"/>
          <w:b w:val="0"/>
          <w:color w:val="auto"/>
          <w:sz w:val="22"/>
          <w:szCs w:val="22"/>
          <w:shd w:val="clear" w:color="auto" w:fill="FFFFFF"/>
          <w:lang w:val="el-GR"/>
        </w:rPr>
        <w:t>Με βάση τα στοιχεία που τηρούνται στα Επαρχιακά Γραφεία Εργασίας, ο αριθμός των εγγεγραμμένων ανέργων στο τέλος Απριλίου 2016, έφτασε τα 36.986 πρόσωπα. Με βάση τα στοιχεία διορθωμένα για εποχικές διακυμάνσεις που δείχνουν την τάση της ανεργίας, ο αριθμός των εγγεγραμμένων ανέργων τον Απρίλιο 2016 μειώθηκε στα 38.902 πρόσωπα σε σύγκριση με 39.801 τον προηγούμενο μήνα.</w:t>
      </w:r>
      <w:r w:rsidRPr="00EE78AE">
        <w:rPr>
          <w:rStyle w:val="apple-converted-space"/>
          <w:rFonts w:ascii="Calibri" w:hAnsi="Calibri" w:cs="Arial"/>
          <w:b w:val="0"/>
          <w:color w:val="auto"/>
          <w:sz w:val="22"/>
          <w:szCs w:val="22"/>
          <w:shd w:val="clear" w:color="auto" w:fill="FFFFFF"/>
        </w:rPr>
        <w:t> </w:t>
      </w:r>
      <w:r w:rsidRPr="00EE78AE">
        <w:rPr>
          <w:rFonts w:ascii="Calibri" w:hAnsi="Calibri"/>
          <w:b w:val="0"/>
          <w:color w:val="auto"/>
          <w:sz w:val="22"/>
          <w:szCs w:val="22"/>
          <w:lang w:val="el-GR"/>
        </w:rPr>
        <w:br/>
      </w:r>
      <w:r w:rsidRPr="00EE78AE">
        <w:rPr>
          <w:rFonts w:ascii="Calibri" w:hAnsi="Calibri" w:cs="Arial"/>
          <w:b w:val="0"/>
          <w:color w:val="auto"/>
          <w:sz w:val="22"/>
          <w:szCs w:val="22"/>
          <w:shd w:val="clear" w:color="auto" w:fill="FFFFFF"/>
          <w:lang w:val="el-GR"/>
        </w:rPr>
        <w:t>Σε σύγκριση με τον Απρίλιο του 2015 σημειώθηκε μείωση 5.565 προσώπων ή 13,1%</w:t>
      </w:r>
      <w:r w:rsidR="00763C99" w:rsidRPr="00EE78AE">
        <w:rPr>
          <w:rStyle w:val="apple-converted-space"/>
          <w:rFonts w:ascii="Calibri" w:hAnsi="Calibri" w:cs="Arial"/>
          <w:b w:val="0"/>
          <w:color w:val="auto"/>
          <w:sz w:val="22"/>
          <w:szCs w:val="22"/>
          <w:shd w:val="clear" w:color="auto" w:fill="FFFFFF"/>
          <w:lang w:val="el-GR"/>
        </w:rPr>
        <w:t>.</w:t>
      </w:r>
    </w:p>
    <w:p w:rsidR="00183EC1" w:rsidRPr="00EE78AE" w:rsidRDefault="00183EC1" w:rsidP="007C5573">
      <w:pPr>
        <w:pStyle w:val="ListParagraph"/>
        <w:spacing w:line="276" w:lineRule="auto"/>
        <w:ind w:left="0"/>
        <w:jc w:val="both"/>
        <w:rPr>
          <w:rStyle w:val="apple-converted-space"/>
          <w:rFonts w:ascii="Calibri" w:hAnsi="Calibri" w:cs="Arial"/>
          <w:b w:val="0"/>
          <w:color w:val="auto"/>
          <w:sz w:val="22"/>
          <w:szCs w:val="22"/>
          <w:shd w:val="clear" w:color="auto" w:fill="FFFFFF"/>
          <w:lang w:val="el-GR"/>
        </w:rPr>
      </w:pPr>
    </w:p>
    <w:p w:rsidR="00E35C07" w:rsidRPr="00EE78AE" w:rsidRDefault="00E35C07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EE78AE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22"/>
          <w:szCs w:val="22"/>
          <w:lang w:val="el-GR"/>
        </w:rPr>
      </w:pPr>
      <w:r w:rsidRPr="00EE78AE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Στοιχεία Έρευνας Εργατικού Δυναμικού</w:t>
      </w:r>
    </w:p>
    <w:p w:rsidR="00D90A94" w:rsidRPr="00EE78AE" w:rsidRDefault="00D90A94" w:rsidP="007C5573">
      <w:pPr>
        <w:pStyle w:val="Title"/>
        <w:spacing w:line="276" w:lineRule="auto"/>
        <w:jc w:val="both"/>
        <w:rPr>
          <w:rFonts w:ascii="Calibri" w:hAnsi="Calibri" w:cs="Calibri"/>
          <w:b w:val="0"/>
          <w:bCs w:val="0"/>
          <w:color w:val="auto"/>
          <w:spacing w:val="4"/>
          <w:sz w:val="22"/>
          <w:szCs w:val="22"/>
        </w:rPr>
      </w:pPr>
    </w:p>
    <w:p w:rsidR="00EA154D" w:rsidRPr="00EE78AE" w:rsidRDefault="00EA154D" w:rsidP="007C5573">
      <w:pPr>
        <w:spacing w:after="240" w:line="276" w:lineRule="auto"/>
        <w:jc w:val="both"/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</w:pPr>
      <w:r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Με βάση τα</w:t>
      </w:r>
      <w:r w:rsidR="00D17896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τελευταία διαθέσιμα </w:t>
      </w:r>
      <w:r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αποτελέσματα της Έρευ</w:t>
      </w:r>
      <w:r w:rsidR="008F7757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νας Εργατικού Δυναμικού για το </w:t>
      </w:r>
      <w:r w:rsidR="00D17896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2015</w:t>
      </w:r>
      <w:r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, το ποσοστό ανεργίας για τους νέους 15-24 ετών </w:t>
      </w:r>
      <w:r w:rsidR="008F7757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 xml:space="preserve">παρουσίασε μείωση 3,1 ποσοστιαίες μονάδες κατά το 2015 (ετήσιος μέσος όρος 32,8%) σε σχέση με τον ετήσιο μέσο όρο του 2014 (35,9%), και μείωση 6,1 ποσοστιαίες μονάδες σε σχέση με τον μέσο όρο του 2013 (38,9%). </w:t>
      </w:r>
      <w:r w:rsidR="008F7757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>Κατά το 4</w:t>
      </w:r>
      <w:r w:rsidR="008F7757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vertAlign w:val="superscript"/>
          <w:lang w:val="el-GR"/>
        </w:rPr>
        <w:t>ο</w:t>
      </w:r>
      <w:r w:rsidR="008F7757" w:rsidRPr="00EE78AE">
        <w:rPr>
          <w:rFonts w:ascii="Calibri" w:hAnsi="Calibri" w:cs="Calibri"/>
          <w:b w:val="0"/>
          <w:color w:val="auto"/>
          <w:spacing w:val="4"/>
          <w:sz w:val="22"/>
          <w:szCs w:val="22"/>
          <w:lang w:val="el-GR"/>
        </w:rPr>
        <w:t xml:space="preserve"> τρίμηνο του 2015, το ποσοστό ανεργίας για τους νέους 15-24 ετών </w:t>
      </w:r>
      <w:r w:rsidR="008F7757" w:rsidRPr="00EE78AE">
        <w:rPr>
          <w:rFonts w:ascii="Calibri" w:hAnsi="Calibri" w:cs="Arial"/>
          <w:b w:val="0"/>
          <w:color w:val="auto"/>
          <w:spacing w:val="4"/>
          <w:sz w:val="22"/>
          <w:szCs w:val="22"/>
          <w:lang w:val="el-GR"/>
        </w:rPr>
        <w:t>ήταν 29,5%, σημειώνοντας μείωση (2,8 ποσοστιαίες μονάδες) σε σχέση με το προηγούμενο τρίμηνο του 2015.</w:t>
      </w:r>
    </w:p>
    <w:p w:rsidR="002A0B53" w:rsidRPr="00EE78AE" w:rsidRDefault="002A0B53" w:rsidP="007C5573">
      <w:pPr>
        <w:spacing w:line="276" w:lineRule="auto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2C03DD" w:rsidRPr="0098616B" w:rsidRDefault="002C03DD" w:rsidP="007C5573">
      <w:pPr>
        <w:spacing w:line="276" w:lineRule="auto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</w:p>
    <w:p w:rsidR="00D90A94" w:rsidRPr="008B391C" w:rsidRDefault="00EE78AE" w:rsidP="007C5573">
      <w:pPr>
        <w:spacing w:line="276" w:lineRule="auto"/>
        <w:rPr>
          <w:rFonts w:ascii="Calibri" w:hAnsi="Calibri" w:cs="Calibri"/>
          <w:color w:val="auto"/>
          <w:sz w:val="22"/>
          <w:szCs w:val="22"/>
          <w:u w:val="double"/>
          <w:lang w:val="el-GR"/>
        </w:rPr>
      </w:pPr>
      <w:r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>Προκαταρτικές εκτιμήσεις</w:t>
      </w:r>
      <w:r w:rsidR="00D90A94" w:rsidRPr="008B391C">
        <w:rPr>
          <w:rFonts w:ascii="Calibri" w:hAnsi="Calibri" w:cs="Calibri"/>
          <w:color w:val="auto"/>
          <w:sz w:val="22"/>
          <w:szCs w:val="22"/>
          <w:u w:val="double"/>
          <w:lang w:val="el-GR"/>
        </w:rPr>
        <w:t xml:space="preserve"> </w:t>
      </w:r>
      <w:r w:rsidR="00D90A94" w:rsidRPr="008B391C">
        <w:rPr>
          <w:rFonts w:ascii="Calibri" w:hAnsi="Calibri" w:cs="Calibri"/>
          <w:color w:val="auto"/>
          <w:sz w:val="22"/>
          <w:szCs w:val="22"/>
          <w:u w:val="double"/>
          <w:lang w:val="en-GB"/>
        </w:rPr>
        <w:t>EUROSTAT</w:t>
      </w:r>
    </w:p>
    <w:p w:rsidR="00D90A94" w:rsidRPr="00E4577A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183EC1" w:rsidRPr="00183EC1" w:rsidRDefault="00183EC1" w:rsidP="00183EC1">
      <w:pPr>
        <w:jc w:val="both"/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</w:pP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183EC1">
        <w:rPr>
          <w:rFonts w:ascii="Calibri" w:eastAsia="Calibri" w:hAnsi="Calibri" w:cs="Arial"/>
          <w:b w:val="0"/>
          <w:sz w:val="22"/>
          <w:szCs w:val="22"/>
        </w:rPr>
        <w:t>Eurostat</w:t>
      </w: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</w:t>
      </w:r>
      <w:r w:rsidR="00EE78AE">
        <w:rPr>
          <w:rFonts w:ascii="Calibri" w:eastAsia="Calibri" w:hAnsi="Calibri" w:cs="Arial"/>
          <w:b w:val="0"/>
          <w:sz w:val="22"/>
          <w:szCs w:val="22"/>
          <w:lang w:val="el-GR"/>
        </w:rPr>
        <w:t>εκτίμηση</w:t>
      </w:r>
      <w:bookmarkStart w:id="0" w:name="_GoBack"/>
      <w:bookmarkEnd w:id="0"/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κατά το μήνα Μάρτιο 2016 η ανεργία στην Κύπρο ανήλθε στο 12,1% και </w:t>
      </w:r>
      <w:r w:rsidRPr="00183EC1">
        <w:rPr>
          <w:rFonts w:ascii="Calibri" w:eastAsia="Calibri" w:hAnsi="Calibri" w:cs="Arial"/>
          <w:b w:val="0"/>
          <w:sz w:val="22"/>
          <w:szCs w:val="22"/>
          <w:u w:val="single"/>
          <w:lang w:val="el-GR"/>
        </w:rPr>
        <w:t>μειώθηκε 4,1 ποσοστιαίες μονάδες</w:t>
      </w: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σε σχέση με τον ίδιο μήνα πέρσι (16,2%). Σε σύγκριση με τον προηγούμενο μήνα, Φεβρουάριο 2016, το ποσοστό μειώθηκε κατά 0,4 ποσοστιαίες μονάδες (12,5%). </w:t>
      </w:r>
    </w:p>
    <w:p w:rsidR="00183EC1" w:rsidRPr="00183EC1" w:rsidRDefault="00183EC1" w:rsidP="00183EC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00B050"/>
          <w:sz w:val="22"/>
          <w:szCs w:val="22"/>
          <w:lang w:val="el-GR"/>
        </w:rPr>
      </w:pPr>
    </w:p>
    <w:p w:rsidR="00183EC1" w:rsidRPr="00183EC1" w:rsidRDefault="00183EC1" w:rsidP="00183EC1">
      <w:pPr>
        <w:jc w:val="both"/>
        <w:rPr>
          <w:rFonts w:ascii="Calibri" w:eastAsia="Calibri" w:hAnsi="Calibri" w:cs="Arial"/>
          <w:b w:val="0"/>
          <w:bCs w:val="0"/>
          <w:sz w:val="22"/>
          <w:szCs w:val="22"/>
          <w:lang w:val="el-GR"/>
        </w:rPr>
      </w:pP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Η ανεργία των νέων κάτω των 25 ετών παρέμεινε σταθερή στο 28,2% τους τελευταίους τρεις διαθέσιμους μήνες (Ιανουάριος μέχρι Μάρτιος 2016), ενώ </w:t>
      </w:r>
      <w:r w:rsidRPr="00183EC1">
        <w:rPr>
          <w:rFonts w:ascii="Calibri" w:eastAsia="Calibri" w:hAnsi="Calibri" w:cs="Arial"/>
          <w:b w:val="0"/>
          <w:sz w:val="22"/>
          <w:szCs w:val="22"/>
          <w:u w:val="single"/>
          <w:lang w:val="el-GR"/>
        </w:rPr>
        <w:t>μειώθηκε</w:t>
      </w: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κατά 6,2 ποσοστιαίες μονάδες σε σχέση με τον Μάρτιο του 2015 (34,4%). </w:t>
      </w:r>
    </w:p>
    <w:p w:rsidR="00183EC1" w:rsidRPr="00183EC1" w:rsidRDefault="00183EC1" w:rsidP="00183EC1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b w:val="0"/>
          <w:bCs w:val="0"/>
          <w:color w:val="00B050"/>
          <w:sz w:val="22"/>
          <w:szCs w:val="22"/>
          <w:lang w:val="el-GR"/>
        </w:rPr>
      </w:pPr>
    </w:p>
    <w:p w:rsidR="00183EC1" w:rsidRPr="00183EC1" w:rsidRDefault="00183EC1" w:rsidP="00183EC1">
      <w:pPr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>Τον Μάρτιο του 2016 ο μέσος όρος ανεργίας στην Ευρωζώνη (</w:t>
      </w:r>
      <w:r w:rsidRPr="00183EC1">
        <w:rPr>
          <w:rFonts w:ascii="Calibri" w:eastAsia="Calibri" w:hAnsi="Calibri" w:cs="Arial"/>
          <w:b w:val="0"/>
          <w:sz w:val="22"/>
          <w:szCs w:val="22"/>
        </w:rPr>
        <w:t>EA</w:t>
      </w: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19) ανήλθε στο 10,2%, καταγράφοντας το χαμηλότερο ποσοστό ανεργίας από τον Αύγουστο του 2011, ενώ ο μέσος όρος στην Ευρώπη (</w:t>
      </w:r>
      <w:r w:rsidRPr="00183EC1">
        <w:rPr>
          <w:rFonts w:ascii="Calibri" w:eastAsia="Calibri" w:hAnsi="Calibri" w:cs="Arial"/>
          <w:b w:val="0"/>
          <w:sz w:val="22"/>
          <w:szCs w:val="22"/>
        </w:rPr>
        <w:t>EU</w:t>
      </w:r>
      <w:r w:rsidRPr="00183EC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28) ανήλθε στο 8,8% καταγράφοντας επίσης το χαμηλότερο ποσοστό ανεργίας τα τελευταία επτά χρόνια, από τον Απρίλιο του 2009.  </w:t>
      </w:r>
    </w:p>
    <w:p w:rsidR="00183EC1" w:rsidRPr="00183EC1" w:rsidRDefault="00183EC1" w:rsidP="00943FE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C740A1" w:rsidRPr="0018719C" w:rsidRDefault="00C740A1" w:rsidP="00943FE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8719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ανδρών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τον μήνα 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Μάρτιο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1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2,5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σημειώνοντας μείωση 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4,0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σε σχέση με τον αντίστοιχο μήνα πέρσι. Σε σχέση με τον προηγούμενο μήνα, 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Φεβρουάριο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το ποσοστό παρουσίασε 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5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18719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.</w:t>
      </w:r>
    </w:p>
    <w:p w:rsidR="00C740A1" w:rsidRPr="0018719C" w:rsidRDefault="00C740A1" w:rsidP="00943FE1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740A1" w:rsidRPr="0018719C" w:rsidRDefault="00C740A1" w:rsidP="00943FE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Το ποσοστό ανεργίας των</w:t>
      </w:r>
      <w:r w:rsidRPr="0018719C">
        <w:rPr>
          <w:rFonts w:ascii="Calibri" w:hAnsi="Calibri" w:cs="Calibri"/>
          <w:b w:val="0"/>
          <w:bCs w:val="0"/>
          <w:i/>
          <w:iCs/>
          <w:color w:val="auto"/>
          <w:sz w:val="22"/>
          <w:szCs w:val="22"/>
          <w:lang w:val="el-GR"/>
        </w:rPr>
        <w:t xml:space="preserve"> γυναικών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το μήνα 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Μάρτιο 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201</w:t>
      </w:r>
      <w:r w:rsidR="003A077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υπολογίζεται στο 1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,7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%, σημειώνοντας  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,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E91B8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σε σχέση με τον αντίστοιχο μήνα πέρσι. Σε σχέση με τον προηγούμενο μήνα, 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Φεβρουάριο</w:t>
      </w:r>
      <w:r w:rsidR="00943FE1"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201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6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, </w:t>
      </w:r>
      <w:r w:rsidR="00943FE1"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το ποσοστό παρουσίασε </w:t>
      </w:r>
      <w:r w:rsidR="00943FE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μείωση</w:t>
      </w:r>
      <w:r w:rsidR="00943FE1"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0,</w:t>
      </w:r>
      <w:r w:rsidR="00183EC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="00943FE1"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="00943FE1" w:rsidRPr="0018719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ποσοστιαίες μονάδες</w:t>
      </w:r>
      <w:r w:rsidRPr="0018719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2A322C" w:rsidRPr="00EA154D" w:rsidRDefault="002A322C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C00000"/>
          <w:sz w:val="22"/>
          <w:szCs w:val="22"/>
          <w:lang w:val="el-GR"/>
        </w:rPr>
      </w:pP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D90A94" w:rsidRPr="0046722B" w:rsidRDefault="00D90A94" w:rsidP="007C5573">
      <w:pPr>
        <w:pStyle w:val="ListParagraph"/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 w:themeFill="accent2" w:themeFillTint="66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46722B">
        <w:rPr>
          <w:rFonts w:ascii="Calibri" w:hAnsi="Calibri" w:cs="Calibri"/>
          <w:color w:val="auto"/>
          <w:sz w:val="22"/>
          <w:szCs w:val="22"/>
          <w:lang w:val="el-GR"/>
        </w:rPr>
        <w:t>Συνοπτικά στοιχεία Εγγεγραμμένης Ανεργίας</w:t>
      </w:r>
    </w:p>
    <w:p w:rsidR="00D90A94" w:rsidRPr="0046722B" w:rsidRDefault="00D90A94" w:rsidP="007C5573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52693E" w:rsidRPr="003140B3" w:rsidRDefault="0052693E" w:rsidP="0052693E">
      <w:pPr>
        <w:pStyle w:val="ListParagraph"/>
        <w:spacing w:line="276" w:lineRule="auto"/>
        <w:ind w:left="0"/>
        <w:jc w:val="both"/>
        <w:rPr>
          <w:rFonts w:asciiTheme="minorHAnsi" w:hAnsiTheme="minorHAnsi" w:cs="Arial"/>
          <w:i/>
          <w:iCs/>
          <w:color w:val="auto"/>
          <w:sz w:val="16"/>
          <w:szCs w:val="16"/>
          <w:lang w:val="el-GR"/>
        </w:rPr>
      </w:pPr>
    </w:p>
    <w:p w:rsidR="0052693E" w:rsidRPr="003140B3" w:rsidRDefault="0052693E" w:rsidP="0052693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Μείωση του αριθμού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36,986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από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42,551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 τον αντίστοιχο μήνα του 201</w:t>
      </w:r>
      <w:r w:rsidRPr="00E518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ση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13,1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</w:t>
      </w:r>
      <w:r w:rsidRPr="006121E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5,565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άτομα).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Επισημαίνεται ότι τα τελευταία δύο χρόνια  παρατηρείται μείωση της μηνιαίας εγγεγραμμένης ανεργίας σε σχέση με τους αντίστοιχους μήνες των προηγούμενων ετών. </w:t>
      </w:r>
    </w:p>
    <w:p w:rsidR="0052693E" w:rsidRPr="003140B3" w:rsidRDefault="0052693E" w:rsidP="0052693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140B3">
        <w:rPr>
          <w:rFonts w:asciiTheme="minorHAnsi" w:hAnsiTheme="minorHAnsi" w:cs="Arial"/>
          <w:color w:val="auto"/>
          <w:sz w:val="22"/>
          <w:szCs w:val="22"/>
          <w:lang w:val="el-GR"/>
        </w:rPr>
        <w:t>φύλο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 ο αριθμός των άνεργων αντρών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ανήλθε στα 18,817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ανέργων γυναικών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ανήλθε στα 18,169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άτομα. Σε σχέση με τον ίδιο μήνα πέρσι, ο αριθμός των ανέργων αντρών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3,393 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15%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των γυναικών μειώθηκε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2,172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11%</w:t>
      </w:r>
      <w:r w:rsidRPr="003140B3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52693E" w:rsidRDefault="0052693E" w:rsidP="0052693E">
      <w:pPr>
        <w:pStyle w:val="ListParagraph"/>
        <w:spacing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3140B3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μήνες.</w:t>
      </w:r>
    </w:p>
    <w:p w:rsidR="0052693E" w:rsidRDefault="0052693E" w:rsidP="0052693E">
      <w:pPr>
        <w:pStyle w:val="ListParagraph"/>
        <w:spacing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52693E" w:rsidRPr="00C84A28" w:rsidRDefault="0052693E" w:rsidP="0052693E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04595621" wp14:editId="7249CF9B">
            <wp:extent cx="5105400" cy="2943225"/>
            <wp:effectExtent l="0" t="0" r="1905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693E" w:rsidRPr="00210181" w:rsidRDefault="0052693E" w:rsidP="0052693E">
      <w:pPr>
        <w:pStyle w:val="ListParagraph"/>
        <w:spacing w:line="276" w:lineRule="auto"/>
        <w:ind w:left="360"/>
        <w:jc w:val="center"/>
        <w:rPr>
          <w:rFonts w:asciiTheme="minorHAnsi" w:hAnsiTheme="minorHAnsi" w:cs="Arial"/>
          <w:b w:val="0"/>
          <w:color w:val="auto"/>
          <w:sz w:val="12"/>
          <w:szCs w:val="12"/>
          <w:lang w:val="el-GR"/>
        </w:rPr>
      </w:pPr>
    </w:p>
    <w:p w:rsidR="0052693E" w:rsidRPr="00210181" w:rsidRDefault="0052693E" w:rsidP="0052693E">
      <w:pPr>
        <w:pStyle w:val="ListParagraph"/>
        <w:spacing w:line="276" w:lineRule="auto"/>
        <w:ind w:left="0"/>
        <w:rPr>
          <w:rFonts w:asciiTheme="minorHAnsi" w:hAnsiTheme="minorHAnsi" w:cs="Arial"/>
          <w:b w:val="0"/>
          <w:color w:val="auto"/>
          <w:sz w:val="4"/>
          <w:szCs w:val="4"/>
          <w:lang w:val="el-GR"/>
        </w:rPr>
      </w:pPr>
    </w:p>
    <w:p w:rsidR="0052693E" w:rsidRPr="0060313D" w:rsidRDefault="0052693E" w:rsidP="0052693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ανεργία σημείωσε μείωση σε όλες τις επαρχίες. Η μεγαλύτερη αριθμητική </w:t>
      </w:r>
      <w:r w:rsidRPr="0060313D">
        <w:rPr>
          <w:rFonts w:asciiTheme="minorHAnsi" w:hAnsiTheme="minorHAnsi" w:cs="Arial"/>
          <w:b w:val="0"/>
          <w:bCs w:val="0"/>
          <w:i/>
          <w:color w:val="auto"/>
          <w:sz w:val="22"/>
          <w:szCs w:val="22"/>
          <w:lang w:val="el-GR"/>
        </w:rPr>
        <w:t xml:space="preserve">μείωση 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στις </w:t>
      </w:r>
      <w:r w:rsidRPr="0060313D">
        <w:rPr>
          <w:rFonts w:asciiTheme="minorHAnsi" w:hAnsiTheme="minorHAnsi" w:cs="Arial"/>
          <w:color w:val="auto"/>
          <w:sz w:val="22"/>
          <w:szCs w:val="22"/>
          <w:lang w:val="el-GR"/>
        </w:rPr>
        <w:t>επαρχίες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Λευκωσίας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2,117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Λάρνακας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1,280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ενώ στις επαρχίες Λεμεσού, Πάφου και Αμμοχώστου η μείωση ήταν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1005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464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699</w:t>
      </w:r>
      <w:r w:rsidRPr="0060313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αντίστοιχα.</w:t>
      </w:r>
    </w:p>
    <w:p w:rsidR="0052693E" w:rsidRPr="0052693E" w:rsidRDefault="0052693E" w:rsidP="0052693E">
      <w:pPr>
        <w:rPr>
          <w:rFonts w:asciiTheme="minorHAnsi" w:hAnsiTheme="minorHAnsi" w:cs="Arial"/>
          <w:sz w:val="16"/>
          <w:szCs w:val="16"/>
          <w:lang w:val="el-GR"/>
        </w:rPr>
      </w:pPr>
    </w:p>
    <w:p w:rsidR="0052693E" w:rsidRDefault="0052693E" w:rsidP="0052693E">
      <w:pPr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  <w:r w:rsidRPr="0052693E">
        <w:rPr>
          <w:rFonts w:asciiTheme="minorHAnsi" w:hAnsiTheme="minorHAnsi" w:cs="Arial"/>
          <w:b w:val="0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12 μήνες.</w:t>
      </w:r>
    </w:p>
    <w:p w:rsidR="0052693E" w:rsidRPr="0052693E" w:rsidRDefault="0052693E" w:rsidP="0052693E">
      <w:pPr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</w:p>
    <w:p w:rsidR="0052693E" w:rsidRPr="00FE0C48" w:rsidRDefault="0052693E" w:rsidP="0052693E">
      <w:pPr>
        <w:ind w:left="360"/>
        <w:jc w:val="center"/>
        <w:rPr>
          <w:rFonts w:asciiTheme="minorHAnsi" w:hAnsiTheme="minorHAnsi" w:cs="Arial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5F550917" wp14:editId="5C4AA80C">
            <wp:extent cx="4981575" cy="30099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693E" w:rsidRPr="0052693E" w:rsidRDefault="0052693E" w:rsidP="0052693E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</w:p>
    <w:p w:rsidR="0052693E" w:rsidRPr="00DF2DF5" w:rsidRDefault="0052693E" w:rsidP="0052693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DF2DF5"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μειώσεις κατά </w:t>
      </w:r>
      <w:r w:rsidRPr="00DF2DF5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F2DF5">
        <w:rPr>
          <w:rFonts w:asciiTheme="minorHAnsi" w:hAnsiTheme="minorHAns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F2DF5">
        <w:rPr>
          <w:rFonts w:asciiTheme="minorHAnsi" w:hAnsiTheme="minorHAns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2015 παρουσιάστηκαν στον τομέα των κατασκευών (κατά 1,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243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των ξενοδοχείων </w:t>
      </w:r>
      <w:r w:rsidRPr="004A34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1,074 άτομα</w:t>
      </w:r>
      <w:r w:rsidRPr="004A34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737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,</w:t>
      </w:r>
      <w:r w:rsidRPr="004A343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τομέα της μεταποίησης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719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 και στον τομέα της δημόσιας διοίκησης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681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άτομα)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52693E" w:rsidRDefault="0052693E" w:rsidP="0052693E">
      <w:pPr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  <w:r w:rsidRPr="0052693E">
        <w:rPr>
          <w:rFonts w:asciiTheme="minorHAnsi" w:hAnsiTheme="minorHAnsi" w:cs="Arial"/>
          <w:b w:val="0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52693E" w:rsidRPr="0052693E" w:rsidRDefault="0052693E" w:rsidP="0052693E">
      <w:pPr>
        <w:ind w:left="360"/>
        <w:jc w:val="both"/>
        <w:rPr>
          <w:rFonts w:asciiTheme="minorHAnsi" w:hAnsiTheme="minorHAnsi" w:cs="Arial"/>
          <w:b w:val="0"/>
          <w:sz w:val="22"/>
          <w:szCs w:val="22"/>
          <w:lang w:val="el-GR"/>
        </w:rPr>
      </w:pPr>
    </w:p>
    <w:p w:rsidR="0052693E" w:rsidRDefault="0052693E" w:rsidP="0052693E">
      <w:pPr>
        <w:pStyle w:val="ListParagraph"/>
        <w:spacing w:after="200" w:line="276" w:lineRule="auto"/>
        <w:jc w:val="center"/>
        <w:rPr>
          <w:rFonts w:asciiTheme="minorHAnsi" w:hAnsiTheme="minorHAnsi" w:cs="Arial"/>
          <w:b w:val="0"/>
          <w:color w:val="FF0000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E808E10" wp14:editId="34D6CEC2">
            <wp:extent cx="4867275" cy="2895600"/>
            <wp:effectExtent l="0" t="0" r="9525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93E" w:rsidRPr="0010745C" w:rsidRDefault="0052693E" w:rsidP="0052693E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10745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Οι μεγαλύτερες μειώσεις παρουσιάστηκαν στις ηλικιακές ομάδες 50-59 ετών (μείωση κατά 1,700 άτομα), στην ηλικιακή ομάδα 40-49 ετών (μείωση κατά 1,094 άτομα), στην ηλικιακή ομάδα 25-29 ετών (μείωση κατά 995 άτομα) και στην ηλικιακή ομάδα 30-39 ετών (μείωση κατά 843 άτομα).</w:t>
      </w:r>
      <w:r w:rsidRPr="0010745C">
        <w:rPr>
          <w:rFonts w:asciiTheme="minorHAnsi" w:hAnsiTheme="minorHAnsi" w:cs="Arial"/>
          <w:color w:val="auto"/>
          <w:sz w:val="22"/>
          <w:szCs w:val="22"/>
          <w:lang w:val="el-GR"/>
        </w:rPr>
        <w:t xml:space="preserve"> </w:t>
      </w:r>
      <w:r w:rsidRPr="0010745C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12 μήνες.</w:t>
      </w:r>
    </w:p>
    <w:p w:rsidR="0052693E" w:rsidRPr="006D61F2" w:rsidRDefault="0052693E" w:rsidP="0052693E">
      <w:pPr>
        <w:pStyle w:val="ListParagraph"/>
        <w:spacing w:after="200" w:line="276" w:lineRule="auto"/>
        <w:ind w:left="360"/>
        <w:jc w:val="center"/>
      </w:pPr>
      <w:r>
        <w:rPr>
          <w:noProof/>
          <w:lang w:val="el-GR" w:eastAsia="el-GR"/>
        </w:rPr>
        <w:drawing>
          <wp:inline distT="0" distB="0" distL="0" distR="0" wp14:anchorId="02418718" wp14:editId="26E8594B">
            <wp:extent cx="5153025" cy="27336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284" w:rsidRPr="00C77284" w:rsidRDefault="0052693E" w:rsidP="0052693E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629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</w:t>
      </w:r>
      <w:r w:rsidRPr="00516299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6 μήνες</w:t>
      </w:r>
      <w:r w:rsidRPr="0051629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έφτασε στα 1</w:t>
      </w:r>
      <w:r w:rsidR="00C47030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9,118</w:t>
      </w:r>
      <w:r w:rsidRPr="0051629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(μείωση κατά 1,259 άτομα ή 6,2</w:t>
      </w:r>
      <w:r w:rsidRPr="0051629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% σε σχέση με τον ίδιο μήνα πέρσι) και αντιπροσωπεύει το 5</w:t>
      </w:r>
      <w:r w:rsidR="00C47030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2</w:t>
      </w:r>
      <w:r w:rsidRPr="0051629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% του συνόλου των εγγεγραμμένων ανέργων. Ο αριθμός των ανέργων που ήταν εγγεγραμμένοι στα γραφεία της ΔΥΑ για </w:t>
      </w:r>
      <w:r w:rsidRPr="00516299">
        <w:rPr>
          <w:rFonts w:asciiTheme="minorHAnsi" w:hAnsiTheme="minorHAnsi" w:cs="Arial"/>
          <w:color w:val="auto"/>
          <w:sz w:val="22"/>
          <w:szCs w:val="22"/>
          <w:lang w:val="el-GR"/>
        </w:rPr>
        <w:t>περισσότερο από 12 μήνες</w:t>
      </w:r>
      <w:r w:rsidRPr="0051629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 xml:space="preserve"> έφτασε τα 12,112 άτομα </w:t>
      </w:r>
      <w:r w:rsidRPr="0051629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lastRenderedPageBreak/>
        <w:t xml:space="preserve">(μείωση κατά 168 άτομα ή 1,4%) και αντιπροσωπεύει το 33% του συνόλου των εγγεγραμμένων ανέργων. </w:t>
      </w:r>
    </w:p>
    <w:p w:rsidR="0052693E" w:rsidRPr="00381D06" w:rsidRDefault="0052693E" w:rsidP="00C77284">
      <w:pPr>
        <w:pStyle w:val="ListParagraph"/>
        <w:spacing w:after="200"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  <w:lang w:val="el-GR"/>
        </w:rPr>
      </w:pPr>
      <w:r w:rsidRPr="00516299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διάρκεια εγγραφής τους τελευταίους 12 μήνες.</w:t>
      </w:r>
    </w:p>
    <w:p w:rsidR="00381D06" w:rsidRPr="00381D06" w:rsidRDefault="00381D06" w:rsidP="00381D06">
      <w:pPr>
        <w:spacing w:after="200" w:line="276" w:lineRule="auto"/>
        <w:jc w:val="both"/>
        <w:rPr>
          <w:rFonts w:asciiTheme="minorHAnsi" w:hAnsiTheme="minorHAnsi" w:cs="Arial"/>
          <w:color w:val="auto"/>
          <w:sz w:val="8"/>
          <w:szCs w:val="8"/>
          <w:lang w:val="el-GR"/>
        </w:rPr>
      </w:pPr>
    </w:p>
    <w:p w:rsidR="0052693E" w:rsidRPr="00CB4548" w:rsidRDefault="0052693E" w:rsidP="0052693E">
      <w:pPr>
        <w:pStyle w:val="ListParagraph"/>
        <w:spacing w:after="200" w:line="276" w:lineRule="auto"/>
        <w:ind w:left="360"/>
        <w:jc w:val="center"/>
        <w:rPr>
          <w:rFonts w:asciiTheme="minorHAnsi" w:hAnsiTheme="minorHAnsi" w:cs="Arial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2D73D8D" wp14:editId="0661274A">
            <wp:extent cx="5057775" cy="287655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3611" w:rsidRPr="000D6E4C" w:rsidRDefault="007C5573" w:rsidP="00B83611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  <w:r w:rsidRPr="000D6E4C">
        <w:rPr>
          <w:rFonts w:ascii="Calibri" w:hAnsi="Calibri" w:cs="Calibri"/>
          <w:b w:val="0"/>
          <w:color w:val="auto"/>
          <w:sz w:val="22"/>
          <w:szCs w:val="22"/>
          <w:lang w:val="el-GR"/>
        </w:rPr>
        <w:t>Ο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ι μισοί από τους εγγεγραμμένους άνεργους είναι </w:t>
      </w:r>
      <w:r w:rsidRPr="000D6E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εκπαίδευσης με ποσοστό 5</w:t>
      </w:r>
      <w:r w:rsidR="00C77284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C77284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18,300</w:t>
      </w:r>
      <w:r w:rsidRPr="000D6E4C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άτομα, ακολουθούν οι απόφοιτοι τριτοβάθμιας εκπαίδευσης με 2</w:t>
      </w:r>
      <w:r w:rsidR="00C77284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% ή 1</w:t>
      </w:r>
      <w:r w:rsidR="00C77284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0,447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 και οι απόφοιτοι με πρωτοβάθμια εκπαίδευση με ποσοστό 2</w:t>
      </w:r>
      <w:r w:rsidR="00FE5130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3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% ή </w:t>
      </w:r>
      <w:r w:rsidR="00C77284"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8,239</w:t>
      </w: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άτομα. </w:t>
      </w:r>
    </w:p>
    <w:p w:rsidR="000D6E4C" w:rsidRDefault="000D6E4C" w:rsidP="000D6E4C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7C5573" w:rsidRPr="000D6E4C" w:rsidRDefault="007C5573" w:rsidP="000D6E4C">
      <w:pPr>
        <w:spacing w:line="276" w:lineRule="auto"/>
        <w:ind w:left="36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0D6E4C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2C2CAB" w:rsidRPr="005515C5" w:rsidRDefault="002C2CAB" w:rsidP="00B83611">
      <w:pPr>
        <w:pStyle w:val="ListParagraph"/>
        <w:spacing w:line="276" w:lineRule="auto"/>
        <w:jc w:val="both"/>
        <w:rPr>
          <w:rFonts w:ascii="Arial" w:hAnsi="Arial" w:cs="Arial"/>
          <w:color w:val="C00000"/>
          <w:sz w:val="20"/>
          <w:szCs w:val="20"/>
          <w:lang w:val="el-GR"/>
        </w:rPr>
      </w:pPr>
    </w:p>
    <w:p w:rsidR="007C5573" w:rsidRPr="00FF7679" w:rsidRDefault="00C77284" w:rsidP="007C5573">
      <w:pPr>
        <w:pStyle w:val="ListParagraph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ED1D695" wp14:editId="2ED3DE20">
            <wp:extent cx="5400675" cy="30003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4961" w:rsidRPr="009B2837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Οι </w:t>
      </w:r>
      <w:r w:rsidRPr="009B2837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9B2837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28,024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%). Ο αντίστοιχος αριθμός τον ίδιο μήνα πέρσι ήταν 3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3,177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 (ποσοστό 7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8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%). Από το σύνολο των ανέργων οι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4,536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(1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2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%) ήταν </w:t>
      </w:r>
      <w:r w:rsidRPr="009B2837"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. Ο αντίστοιχος αριθμός τον ίδιο μήνα πέρσι ήταν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5,395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ή 1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</w:t>
      </w:r>
      <w:r w:rsidRPr="009B283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% του συνόλου των ανέργων.</w:t>
      </w:r>
    </w:p>
    <w:p w:rsidR="007C5573" w:rsidRPr="00C77284" w:rsidRDefault="007C5573" w:rsidP="00B83611">
      <w:pPr>
        <w:pStyle w:val="ListParagraph"/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C77284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Ελληνοκυπρίων, των Ευρωπαίων ανέργων, των Ποντίων ανέργων και των ανέργων με καθεστώς συμπληρωματικής προστασίας δεύτερου χρόνου τους τελευταίους 12 μήνες.</w:t>
      </w:r>
    </w:p>
    <w:p w:rsidR="007C5573" w:rsidRPr="00031613" w:rsidRDefault="00C77284" w:rsidP="00C77284">
      <w:pPr>
        <w:pStyle w:val="ListParagraph"/>
        <w:spacing w:after="200" w:line="276" w:lineRule="auto"/>
        <w:jc w:val="center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9541720" wp14:editId="2A082B79">
            <wp:extent cx="5257800" cy="30575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C5573" w:rsidRPr="004D4F21" w:rsidRDefault="007C5573" w:rsidP="00F22BBA">
      <w:p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8"/>
          <w:szCs w:val="8"/>
          <w:lang w:val="el-GR"/>
        </w:rPr>
      </w:pPr>
    </w:p>
    <w:p w:rsidR="00024961" w:rsidRPr="000B0E61" w:rsidRDefault="00024961" w:rsidP="00024961">
      <w:pPr>
        <w:pStyle w:val="ListParagraph"/>
        <w:tabs>
          <w:tab w:val="left" w:pos="3400"/>
        </w:tabs>
        <w:spacing w:after="200" w:line="276" w:lineRule="auto"/>
        <w:ind w:left="360"/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</w:pP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Σύγκριση μεταξύ </w:t>
      </w:r>
      <w:r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 xml:space="preserve">Μαρτίου και Απριλίου 2016 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(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0B0E61">
        <w:rPr>
          <w:rFonts w:asciiTheme="minorHAnsi" w:hAnsiTheme="minorHAnsi" w:cs="Arial"/>
          <w:i/>
          <w:iCs/>
          <w:color w:val="auto"/>
          <w:sz w:val="22"/>
          <w:szCs w:val="22"/>
          <w:lang w:val="el-GR"/>
        </w:rPr>
        <w:t>):</w:t>
      </w:r>
    </w:p>
    <w:p w:rsidR="00024961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>Τον Απρίλιο του 2016</w:t>
      </w:r>
      <w:r w:rsidRPr="000B0E61">
        <w:rPr>
          <w:rFonts w:asciiTheme="minorHAnsi" w:hAnsiTheme="minorHAns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 ο</w:t>
      </w:r>
      <w:r w:rsidRPr="000B0E61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αριθμός των εγγεγραμμένων ανέργων </w:t>
      </w:r>
      <w:r w:rsidRPr="005A54EA">
        <w:rPr>
          <w:rFonts w:asciiTheme="minorHAnsi" w:hAnsiTheme="minorHAnsi" w:cs="Arial"/>
          <w:b w:val="0"/>
          <w:bCs w:val="0"/>
          <w:color w:val="auto"/>
          <w:sz w:val="22"/>
          <w:szCs w:val="22"/>
          <w:u w:val="single"/>
          <w:lang w:val="el-GR"/>
        </w:rPr>
        <w:t>μειώθηκε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5,797 άτομα 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σε σύ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γκριση με τον προηγού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024961" w:rsidRPr="00FA5CD7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φύλο οι άντρες μειώθηκαν κατά 2,895 άτομα και οι γυναίκες κατά 2,902 άτομα.</w:t>
      </w:r>
      <w:r w:rsidRPr="00FA5CD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024961" w:rsidRPr="00FB66B6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ηλικία,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παρουσιάστηκ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στις ηλικιακές ομάδες 30-39 χρονών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1,483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ακολουθούμενες από την ηλικιακή ομάδα 40-49 χρονών και 50-59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χρονών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1,329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1,117 αντίστοιχα</w:t>
      </w:r>
      <w:r w:rsidRPr="00FB66B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</w:t>
      </w:r>
    </w:p>
    <w:p w:rsidR="00024961" w:rsidRPr="00FB3E14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μεγαλύτερ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μείωση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ε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ανάμεσα στους Ελληνοκύπριους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3,672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ανάμεσα στα άτομα από ΕΕ 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1,710</w:t>
      </w:r>
      <w:r w:rsidRPr="00FB3E14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</w:t>
      </w:r>
    </w:p>
    <w:p w:rsidR="00024961" w:rsidRPr="00C651BC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  <w:lang w:val="el-GR"/>
        </w:rPr>
      </w:pP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με διάρκεια ανεργίας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 μέχρι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6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μήνες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θηκε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4,120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άτομα, ενώ ο αριθμός των ατόμων που είχαν διάρκεια ανεργίας από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15 μέρες μέχρι 3 μήνες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μειώθηκε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1,643</w:t>
      </w:r>
      <w:r w:rsidRPr="00C651BC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άτομα. </w:t>
      </w:r>
    </w:p>
    <w:p w:rsidR="00024961" w:rsidRPr="00DF2DF5" w:rsidRDefault="00024961" w:rsidP="000249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</w:pP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</w:t>
      </w:r>
      <w:r w:rsidRPr="00DF2DF5">
        <w:rPr>
          <w:rFonts w:asciiTheme="minorHAnsi" w:hAnsiTheme="minorHAnsi" w:cs="Arial"/>
          <w:bCs w:val="0"/>
          <w:color w:val="auto"/>
          <w:sz w:val="22"/>
          <w:szCs w:val="22"/>
          <w:lang w:val="el-GR"/>
        </w:rPr>
        <w:t>,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οι μεγαλύτερες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μειώσεις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παρατηρήθηκαν στον τομέα των ξενοδοχείων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3,236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, στον τομέα της δημόσιας διοίκησης </w:t>
      </w:r>
      <w:r w:rsidRPr="00375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699 άτομα</w:t>
      </w:r>
      <w:r w:rsidRPr="00375FD6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στον τομέα του εμπορίου (κατά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533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άτομα)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και στις άλλες υπηρεσίες </w:t>
      </w:r>
      <w:r w:rsidRPr="00C328D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433 άτομα</w:t>
      </w:r>
      <w:r w:rsidRPr="00C328D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</w:t>
      </w:r>
      <w:r w:rsidRPr="00DF2DF5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024961" w:rsidRPr="005D5741" w:rsidRDefault="00024961" w:rsidP="0002496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lastRenderedPageBreak/>
        <w:t>Κατά επαρχία,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η μεγαλύτερη μείωση </w:t>
      </w:r>
      <w:r w:rsidRPr="006B3797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καταγράφηκε στην επαρχία Αμμοχώστου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2,540 άτομα</w:t>
      </w:r>
      <w:r w:rsidRPr="004769E2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),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 ακολουθούμενη από την επαρχία Πάφου </w:t>
      </w:r>
      <w:r w:rsidRPr="00C328DD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 xml:space="preserve">κατά 1,109 άτομα) και την επαρχία Λάρνακας </w:t>
      </w:r>
      <w:r w:rsidRPr="00DC6D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(</w:t>
      </w:r>
      <w:r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κατά 1,018 άτομα</w:t>
      </w:r>
      <w:r w:rsidRPr="00DC6DA9">
        <w:rPr>
          <w:rFonts w:asciiTheme="minorHAnsi" w:hAnsiTheme="minorHAnsi" w:cs="Arial"/>
          <w:b w:val="0"/>
          <w:bCs w:val="0"/>
          <w:color w:val="auto"/>
          <w:sz w:val="22"/>
          <w:szCs w:val="22"/>
          <w:lang w:val="el-GR"/>
        </w:rPr>
        <w:t>).</w:t>
      </w:r>
    </w:p>
    <w:p w:rsidR="00024961" w:rsidRDefault="00024961" w:rsidP="00024961">
      <w:pPr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024961" w:rsidRPr="004D2273" w:rsidRDefault="00024961" w:rsidP="00024961">
      <w:pPr>
        <w:rPr>
          <w:rFonts w:asciiTheme="minorHAnsi" w:hAnsiTheme="minorHAnsi" w:cs="Arial"/>
          <w:i/>
          <w:iCs/>
          <w:sz w:val="22"/>
          <w:szCs w:val="22"/>
          <w:lang w:val="el-GR"/>
        </w:rPr>
      </w:pPr>
    </w:p>
    <w:p w:rsidR="00024961" w:rsidRDefault="00024961" w:rsidP="00024961">
      <w:pPr>
        <w:rPr>
          <w:rFonts w:asciiTheme="minorHAnsi" w:hAnsiTheme="minorHAnsi" w:cs="Arial"/>
          <w:b w:val="0"/>
          <w:i/>
          <w:iCs/>
          <w:sz w:val="22"/>
          <w:szCs w:val="22"/>
          <w:lang w:val="el-GR"/>
        </w:rPr>
      </w:pPr>
      <w:r w:rsidRPr="00380805">
        <w:rPr>
          <w:rFonts w:asciiTheme="minorHAnsi" w:hAnsiTheme="minorHAnsi" w:cs="Arial"/>
          <w:i/>
          <w:iCs/>
          <w:sz w:val="22"/>
          <w:szCs w:val="22"/>
          <w:lang w:val="el-GR"/>
        </w:rPr>
        <w:t>Νέες Εγγραφές</w:t>
      </w:r>
      <w:r w:rsidRPr="00380805">
        <w:rPr>
          <w:rStyle w:val="FootnoteReference"/>
          <w:rFonts w:asciiTheme="minorHAnsi" w:hAnsiTheme="minorHAnsi" w:cs="Arial"/>
          <w:i/>
          <w:iCs/>
          <w:sz w:val="22"/>
          <w:szCs w:val="22"/>
          <w:lang w:val="el-GR"/>
        </w:rPr>
        <w:footnoteReference w:id="1"/>
      </w:r>
      <w:r w:rsidRPr="00380805">
        <w:rPr>
          <w:rFonts w:asciiTheme="minorHAnsi" w:hAnsiTheme="minorHAnsi" w:cs="Arial"/>
          <w:i/>
          <w:iCs/>
          <w:sz w:val="22"/>
          <w:szCs w:val="22"/>
          <w:lang w:val="el-GR"/>
        </w:rPr>
        <w:t xml:space="preserve"> Ανέργων κατά Επαρχία και μήνα</w:t>
      </w:r>
    </w:p>
    <w:p w:rsidR="00C77284" w:rsidRDefault="00C77284" w:rsidP="00024961">
      <w:pPr>
        <w:rPr>
          <w:rFonts w:asciiTheme="minorHAnsi" w:hAnsiTheme="minorHAnsi" w:cs="Arial"/>
          <w:b w:val="0"/>
          <w:iCs/>
          <w:sz w:val="22"/>
          <w:szCs w:val="22"/>
          <w:lang w:val="el-GR"/>
        </w:rPr>
      </w:pPr>
    </w:p>
    <w:p w:rsidR="00024961" w:rsidRDefault="00024961" w:rsidP="00024961">
      <w:pPr>
        <w:rPr>
          <w:rFonts w:asciiTheme="minorHAnsi" w:hAnsiTheme="minorHAnsi" w:cs="Arial"/>
          <w:b w:val="0"/>
          <w:iCs/>
          <w:sz w:val="22"/>
          <w:szCs w:val="22"/>
          <w:lang w:val="el-GR"/>
        </w:rPr>
      </w:pPr>
      <w:r w:rsidRPr="00024961">
        <w:rPr>
          <w:rFonts w:asciiTheme="minorHAnsi" w:hAnsiTheme="minorHAnsi" w:cs="Arial"/>
          <w:b w:val="0"/>
          <w:iCs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C77284" w:rsidRPr="00024961" w:rsidRDefault="00C77284" w:rsidP="00024961">
      <w:pPr>
        <w:rPr>
          <w:rFonts w:asciiTheme="minorHAnsi" w:hAnsiTheme="minorHAnsi" w:cs="Arial"/>
          <w:b w:val="0"/>
          <w:iCs/>
          <w:sz w:val="22"/>
          <w:szCs w:val="22"/>
          <w:lang w:val="el-GR"/>
        </w:rPr>
      </w:pPr>
    </w:p>
    <w:p w:rsidR="00024961" w:rsidRPr="00024961" w:rsidRDefault="00024961" w:rsidP="00024961">
      <w:pPr>
        <w:rPr>
          <w:rFonts w:asciiTheme="minorHAnsi" w:hAnsiTheme="minorHAnsi" w:cs="Arial"/>
          <w:b w:val="0"/>
          <w:i/>
          <w:iCs/>
          <w:sz w:val="16"/>
          <w:szCs w:val="16"/>
          <w:lang w:val="el-GR"/>
        </w:rPr>
      </w:pPr>
    </w:p>
    <w:tbl>
      <w:tblPr>
        <w:tblW w:w="7567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2041"/>
        <w:gridCol w:w="1939"/>
      </w:tblGrid>
      <w:tr w:rsidR="00024961" w:rsidRPr="00024961" w:rsidTr="007B370C">
        <w:trPr>
          <w:trHeight w:val="272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 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Φεβρουάριος 2016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Μάρτιος 2016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Απρίλιος 2016</w:t>
            </w:r>
          </w:p>
        </w:tc>
      </w:tr>
      <w:tr w:rsidR="00024961" w:rsidRPr="00024961" w:rsidTr="007B370C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1,640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1,672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1,682</w:t>
            </w:r>
          </w:p>
        </w:tc>
      </w:tr>
      <w:tr w:rsidR="00024961" w:rsidRPr="00024961" w:rsidTr="007B370C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980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933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874</w:t>
            </w:r>
          </w:p>
        </w:tc>
      </w:tr>
      <w:tr w:rsidR="00024961" w:rsidRPr="00024961" w:rsidTr="007B370C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414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525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tabs>
                <w:tab w:val="left" w:pos="510"/>
                <w:tab w:val="center" w:pos="855"/>
                <w:tab w:val="right" w:pos="1710"/>
              </w:tabs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480</w:t>
            </w:r>
          </w:p>
        </w:tc>
      </w:tr>
      <w:tr w:rsidR="00024961" w:rsidRPr="00024961" w:rsidTr="007B370C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1,726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1,839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1,674</w:t>
            </w:r>
          </w:p>
        </w:tc>
      </w:tr>
      <w:tr w:rsidR="00024961" w:rsidRPr="00024961" w:rsidTr="007B370C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858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890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853</w:t>
            </w:r>
          </w:p>
        </w:tc>
      </w:tr>
      <w:tr w:rsidR="00024961" w:rsidRPr="00024961" w:rsidTr="007B370C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4961" w:rsidRPr="00024961" w:rsidRDefault="00024961" w:rsidP="007B370C">
            <w:pPr>
              <w:jc w:val="both"/>
              <w:rPr>
                <w:rFonts w:asciiTheme="minorHAnsi" w:hAnsiTheme="minorHAnsi" w:cs="Arial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5,618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5,859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4961" w:rsidRPr="00024961" w:rsidRDefault="00024961" w:rsidP="007B370C">
            <w:pPr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l-GR"/>
              </w:rPr>
            </w:pPr>
            <w:r w:rsidRPr="00024961">
              <w:rPr>
                <w:rFonts w:asciiTheme="minorHAnsi" w:hAnsiTheme="minorHAnsi" w:cs="Arial"/>
                <w:b w:val="0"/>
                <w:sz w:val="22"/>
                <w:szCs w:val="22"/>
                <w:lang w:val="el-GR"/>
              </w:rPr>
              <w:t>5,563</w:t>
            </w:r>
          </w:p>
        </w:tc>
      </w:tr>
    </w:tbl>
    <w:p w:rsidR="00024961" w:rsidRPr="00024961" w:rsidRDefault="00024961" w:rsidP="00024961">
      <w:pPr>
        <w:pStyle w:val="FootnoteText"/>
        <w:jc w:val="both"/>
        <w:rPr>
          <w:rFonts w:asciiTheme="minorHAnsi" w:hAnsiTheme="minorHAnsi"/>
          <w:bCs/>
          <w:sz w:val="22"/>
          <w:szCs w:val="22"/>
          <w:lang w:val="el-GR"/>
        </w:rPr>
      </w:pPr>
    </w:p>
    <w:p w:rsidR="00024961" w:rsidRPr="00024961" w:rsidRDefault="00024961" w:rsidP="00024961">
      <w:pPr>
        <w:pStyle w:val="FootnoteText"/>
        <w:rPr>
          <w:rFonts w:asciiTheme="minorHAnsi" w:hAnsiTheme="minorHAnsi"/>
          <w:bCs/>
          <w:sz w:val="22"/>
          <w:szCs w:val="22"/>
        </w:rPr>
      </w:pPr>
    </w:p>
    <w:p w:rsidR="00182F3D" w:rsidRPr="009D45DE" w:rsidRDefault="00182F3D" w:rsidP="007C5573">
      <w:pPr>
        <w:spacing w:line="276" w:lineRule="auto"/>
        <w:ind w:left="360"/>
        <w:jc w:val="both"/>
        <w:rPr>
          <w:rFonts w:asciiTheme="minorHAnsi" w:hAnsiTheme="minorHAnsi" w:cs="Arial"/>
          <w:b w:val="0"/>
          <w:i/>
          <w:iCs/>
          <w:color w:val="auto"/>
          <w:sz w:val="22"/>
          <w:szCs w:val="22"/>
          <w:lang w:val="el-GR"/>
        </w:rPr>
      </w:pPr>
    </w:p>
    <w:p w:rsidR="00400F28" w:rsidRDefault="00400F28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400F28" w:rsidRDefault="00400F28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CB272B" w:rsidRDefault="00CB272B" w:rsidP="007C5573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</w:rPr>
      </w:pPr>
    </w:p>
    <w:p w:rsidR="00024961" w:rsidRDefault="00024961" w:rsidP="00FF7679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</w:pPr>
    </w:p>
    <w:p w:rsidR="00D90A94" w:rsidRPr="007A5F4C" w:rsidRDefault="00CB272B" w:rsidP="00FF7679">
      <w:pPr>
        <w:spacing w:line="276" w:lineRule="auto"/>
        <w:jc w:val="both"/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  <w:lang w:val="el-GR"/>
        </w:rPr>
        <w:t>ΜΡη</w:t>
      </w:r>
      <w:proofErr w:type="spellEnd"/>
      <w:r w:rsidRPr="00CB272B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, </w:t>
      </w:r>
      <w:r w:rsidR="00576001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begin"/>
      </w:r>
      <w:r w:rsidR="00576001">
        <w:rPr>
          <w:rFonts w:ascii="Calibri" w:hAnsi="Calibri" w:cs="Calibri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="00576001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separate"/>
      </w:r>
      <w:r w:rsidR="00576001">
        <w:rPr>
          <w:rFonts w:ascii="Calibri" w:hAnsi="Calibri" w:cs="Calibri"/>
          <w:b w:val="0"/>
          <w:bCs w:val="0"/>
          <w:noProof/>
          <w:color w:val="auto"/>
          <w:sz w:val="18"/>
          <w:szCs w:val="18"/>
        </w:rPr>
        <w:t>C:\Users\Administrator\M RIGOU\Ανεργία - Μηνιαίες Εκθέσεις\2016 registered unemployed-monthly reports\March 2016\Reports\ΚΕΦΑΛΑΙΟ Ι - Μάρτιος 2016.docx</w:t>
      </w:r>
      <w:r w:rsidR="00576001">
        <w:rPr>
          <w:rFonts w:ascii="Calibri" w:hAnsi="Calibri" w:cs="Calibri"/>
          <w:b w:val="0"/>
          <w:bCs w:val="0"/>
          <w:color w:val="auto"/>
          <w:sz w:val="18"/>
          <w:szCs w:val="18"/>
        </w:rPr>
        <w:fldChar w:fldCharType="end"/>
      </w:r>
    </w:p>
    <w:sectPr w:rsidR="00D90A94" w:rsidRPr="007A5F4C" w:rsidSect="00F3321F">
      <w:footerReference w:type="default" r:id="rId16"/>
      <w:pgSz w:w="11906" w:h="16838"/>
      <w:pgMar w:top="1440" w:right="1080" w:bottom="1440" w:left="108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D2" w:rsidRDefault="00D17CD2">
      <w:r>
        <w:separator/>
      </w:r>
    </w:p>
  </w:endnote>
  <w:endnote w:type="continuationSeparator" w:id="0">
    <w:p w:rsidR="00D17CD2" w:rsidRDefault="00D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A94" w:rsidRPr="00BF47C7" w:rsidRDefault="00905896" w:rsidP="00FB3B70">
    <w:pPr>
      <w:pStyle w:val="Footer"/>
      <w:framePr w:wrap="auto" w:vAnchor="text" w:hAnchor="margin" w:xAlign="right" w:y="1"/>
      <w:rPr>
        <w:rStyle w:val="PageNumber"/>
        <w:b w:val="0"/>
        <w:bCs w:val="0"/>
      </w:rPr>
    </w:pPr>
    <w:r w:rsidRPr="00BF47C7">
      <w:rPr>
        <w:rStyle w:val="PageNumber"/>
        <w:b w:val="0"/>
        <w:bCs w:val="0"/>
      </w:rPr>
      <w:fldChar w:fldCharType="begin"/>
    </w:r>
    <w:r w:rsidR="00D90A94" w:rsidRPr="00BF47C7">
      <w:rPr>
        <w:rStyle w:val="PageNumber"/>
        <w:b w:val="0"/>
        <w:bCs w:val="0"/>
      </w:rPr>
      <w:instrText xml:space="preserve">PAGE  </w:instrText>
    </w:r>
    <w:r w:rsidRPr="00BF47C7">
      <w:rPr>
        <w:rStyle w:val="PageNumber"/>
        <w:b w:val="0"/>
        <w:bCs w:val="0"/>
      </w:rPr>
      <w:fldChar w:fldCharType="separate"/>
    </w:r>
    <w:r w:rsidR="00EE78AE">
      <w:rPr>
        <w:rStyle w:val="PageNumber"/>
        <w:b w:val="0"/>
        <w:bCs w:val="0"/>
        <w:noProof/>
      </w:rPr>
      <w:t>4</w:t>
    </w:r>
    <w:r w:rsidRPr="00BF47C7">
      <w:rPr>
        <w:rStyle w:val="PageNumber"/>
        <w:b w:val="0"/>
        <w:bCs w:val="0"/>
      </w:rPr>
      <w:fldChar w:fldCharType="end"/>
    </w:r>
  </w:p>
  <w:p w:rsidR="00D90A94" w:rsidRDefault="00D90A94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D2" w:rsidRDefault="00D17CD2">
      <w:r>
        <w:separator/>
      </w:r>
    </w:p>
  </w:footnote>
  <w:footnote w:type="continuationSeparator" w:id="0">
    <w:p w:rsidR="00D17CD2" w:rsidRDefault="00D17CD2">
      <w:r>
        <w:continuationSeparator/>
      </w:r>
    </w:p>
  </w:footnote>
  <w:footnote w:id="1">
    <w:p w:rsidR="00024961" w:rsidRPr="00887DBA" w:rsidRDefault="00024961" w:rsidP="00024961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A2E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61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540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8E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161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A2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DDCF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D8A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EA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E0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B66871"/>
    <w:multiLevelType w:val="hybridMultilevel"/>
    <w:tmpl w:val="E4E85306"/>
    <w:lvl w:ilvl="0" w:tplc="C9B4B996">
      <w:numFmt w:val="bullet"/>
      <w:lvlText w:val=""/>
      <w:legacy w:legacy="1" w:legacySpace="0" w:legacyIndent="0"/>
      <w:lvlJc w:val="left"/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CB77B59"/>
    <w:multiLevelType w:val="hybridMultilevel"/>
    <w:tmpl w:val="D6D2CE04"/>
    <w:lvl w:ilvl="0" w:tplc="1884CDF2">
      <w:start w:val="1"/>
      <w:numFmt w:val="bullet"/>
      <w:lvlText w:val="-"/>
      <w:lvlJc w:val="left"/>
      <w:pPr>
        <w:tabs>
          <w:tab w:val="num" w:pos="1180"/>
        </w:tabs>
        <w:ind w:left="1180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2">
    <w:nsid w:val="0F2A5FE1"/>
    <w:multiLevelType w:val="hybridMultilevel"/>
    <w:tmpl w:val="02B41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7260AA"/>
    <w:multiLevelType w:val="hybridMultilevel"/>
    <w:tmpl w:val="2E361C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D126A3"/>
    <w:multiLevelType w:val="hybridMultilevel"/>
    <w:tmpl w:val="C6C05040"/>
    <w:lvl w:ilvl="0" w:tplc="E7F8B79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2EC7F57"/>
    <w:multiLevelType w:val="hybridMultilevel"/>
    <w:tmpl w:val="26F61AEA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356BDE"/>
    <w:multiLevelType w:val="hybridMultilevel"/>
    <w:tmpl w:val="DE481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4D06F59"/>
    <w:multiLevelType w:val="hybridMultilevel"/>
    <w:tmpl w:val="04D24F5C"/>
    <w:lvl w:ilvl="0" w:tplc="C406AE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2BD00E93"/>
    <w:multiLevelType w:val="hybridMultilevel"/>
    <w:tmpl w:val="B58AFDBE"/>
    <w:lvl w:ilvl="0" w:tplc="0AE8C130">
      <w:start w:val="1"/>
      <w:numFmt w:val="decimal"/>
      <w:lvlText w:val="%1."/>
      <w:lvlJc w:val="left"/>
      <w:pPr>
        <w:ind w:left="792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2E9D7C94"/>
    <w:multiLevelType w:val="hybridMultilevel"/>
    <w:tmpl w:val="BBE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24955A0"/>
    <w:multiLevelType w:val="hybridMultilevel"/>
    <w:tmpl w:val="5F8E3A82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2581389"/>
    <w:multiLevelType w:val="hybridMultilevel"/>
    <w:tmpl w:val="5E3A7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F800B9"/>
    <w:multiLevelType w:val="hybridMultilevel"/>
    <w:tmpl w:val="BFAA551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54D0E0B"/>
    <w:multiLevelType w:val="hybridMultilevel"/>
    <w:tmpl w:val="FFF638D2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E4F1A07"/>
    <w:multiLevelType w:val="hybridMultilevel"/>
    <w:tmpl w:val="130C05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591094"/>
    <w:multiLevelType w:val="hybridMultilevel"/>
    <w:tmpl w:val="6BFC2754"/>
    <w:lvl w:ilvl="0" w:tplc="2AE860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DD4095A"/>
    <w:multiLevelType w:val="hybridMultilevel"/>
    <w:tmpl w:val="85324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A28C6"/>
    <w:multiLevelType w:val="hybridMultilevel"/>
    <w:tmpl w:val="060070D4"/>
    <w:lvl w:ilvl="0" w:tplc="CD085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3A30AE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01E55"/>
    <w:multiLevelType w:val="hybridMultilevel"/>
    <w:tmpl w:val="D93EE190"/>
    <w:lvl w:ilvl="0" w:tplc="E7F8B79C">
      <w:start w:val="1"/>
      <w:numFmt w:val="bullet"/>
      <w:lvlText w:val=""/>
      <w:lvlJc w:val="left"/>
      <w:pPr>
        <w:ind w:left="148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29">
    <w:nsid w:val="56E439FB"/>
    <w:multiLevelType w:val="hybridMultilevel"/>
    <w:tmpl w:val="3FF6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DC2AE6"/>
    <w:multiLevelType w:val="hybridMultilevel"/>
    <w:tmpl w:val="ADA66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CE33452"/>
    <w:multiLevelType w:val="hybridMultilevel"/>
    <w:tmpl w:val="05AE2B0E"/>
    <w:lvl w:ilvl="0" w:tplc="3A30A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2B4A73A">
      <w:start w:val="3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04D2987"/>
    <w:multiLevelType w:val="hybridMultilevel"/>
    <w:tmpl w:val="C114CF2A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5C1BA8"/>
    <w:multiLevelType w:val="hybridMultilevel"/>
    <w:tmpl w:val="3BDCC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B156493"/>
    <w:multiLevelType w:val="hybridMultilevel"/>
    <w:tmpl w:val="4718E312"/>
    <w:lvl w:ilvl="0" w:tplc="C406AE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395E44"/>
    <w:multiLevelType w:val="hybridMultilevel"/>
    <w:tmpl w:val="5DA4FAA2"/>
    <w:lvl w:ilvl="0" w:tplc="4C8E4B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16F0C85"/>
    <w:multiLevelType w:val="hybridMultilevel"/>
    <w:tmpl w:val="EB3284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F5D76"/>
    <w:multiLevelType w:val="hybridMultilevel"/>
    <w:tmpl w:val="DDC8BBBC"/>
    <w:lvl w:ilvl="0" w:tplc="0EFC5054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A46FF6"/>
    <w:multiLevelType w:val="hybridMultilevel"/>
    <w:tmpl w:val="1B062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CD15DF"/>
    <w:multiLevelType w:val="hybridMultilevel"/>
    <w:tmpl w:val="8BD61078"/>
    <w:lvl w:ilvl="0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7CD424DA"/>
    <w:multiLevelType w:val="hybridMultilevel"/>
    <w:tmpl w:val="0346113E"/>
    <w:lvl w:ilvl="0" w:tplc="E7F8B79C">
      <w:start w:val="1"/>
      <w:numFmt w:val="bullet"/>
      <w:lvlText w:val="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41">
    <w:nsid w:val="7F024944"/>
    <w:multiLevelType w:val="hybridMultilevel"/>
    <w:tmpl w:val="17846946"/>
    <w:lvl w:ilvl="0" w:tplc="8A8A47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31"/>
  </w:num>
  <w:num w:numId="5">
    <w:abstractNumId w:val="11"/>
  </w:num>
  <w:num w:numId="6">
    <w:abstractNumId w:val="30"/>
  </w:num>
  <w:num w:numId="7">
    <w:abstractNumId w:val="38"/>
  </w:num>
  <w:num w:numId="8">
    <w:abstractNumId w:val="33"/>
  </w:num>
  <w:num w:numId="9">
    <w:abstractNumId w:val="21"/>
  </w:num>
  <w:num w:numId="10">
    <w:abstractNumId w:val="18"/>
  </w:num>
  <w:num w:numId="11">
    <w:abstractNumId w:val="13"/>
  </w:num>
  <w:num w:numId="12">
    <w:abstractNumId w:val="27"/>
  </w:num>
  <w:num w:numId="13">
    <w:abstractNumId w:val="37"/>
  </w:num>
  <w:num w:numId="14">
    <w:abstractNumId w:val="41"/>
  </w:num>
  <w:num w:numId="15">
    <w:abstractNumId w:val="34"/>
  </w:num>
  <w:num w:numId="16">
    <w:abstractNumId w:val="35"/>
  </w:num>
  <w:num w:numId="17">
    <w:abstractNumId w:val="32"/>
  </w:num>
  <w:num w:numId="18">
    <w:abstractNumId w:val="25"/>
  </w:num>
  <w:num w:numId="19">
    <w:abstractNumId w:val="15"/>
  </w:num>
  <w:num w:numId="20">
    <w:abstractNumId w:val="23"/>
  </w:num>
  <w:num w:numId="21">
    <w:abstractNumId w:val="16"/>
  </w:num>
  <w:num w:numId="22">
    <w:abstractNumId w:val="12"/>
  </w:num>
  <w:num w:numId="23">
    <w:abstractNumId w:val="29"/>
  </w:num>
  <w:num w:numId="24">
    <w:abstractNumId w:val="20"/>
  </w:num>
  <w:num w:numId="25">
    <w:abstractNumId w:val="39"/>
  </w:num>
  <w:num w:numId="26">
    <w:abstractNumId w:val="14"/>
  </w:num>
  <w:num w:numId="27">
    <w:abstractNumId w:val="40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9"/>
  </w:num>
  <w:num w:numId="41">
    <w:abstractNumId w:val="3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2D8"/>
    <w:rsid w:val="000005C8"/>
    <w:rsid w:val="00000A51"/>
    <w:rsid w:val="00002136"/>
    <w:rsid w:val="00002B46"/>
    <w:rsid w:val="0000322F"/>
    <w:rsid w:val="000037F3"/>
    <w:rsid w:val="0000387B"/>
    <w:rsid w:val="00005BCF"/>
    <w:rsid w:val="00006386"/>
    <w:rsid w:val="000064B5"/>
    <w:rsid w:val="00006BCD"/>
    <w:rsid w:val="000071D9"/>
    <w:rsid w:val="00007776"/>
    <w:rsid w:val="00012FCE"/>
    <w:rsid w:val="00013567"/>
    <w:rsid w:val="0001395E"/>
    <w:rsid w:val="00015215"/>
    <w:rsid w:val="000153C5"/>
    <w:rsid w:val="00015698"/>
    <w:rsid w:val="0001621A"/>
    <w:rsid w:val="000168FD"/>
    <w:rsid w:val="0001751A"/>
    <w:rsid w:val="00020227"/>
    <w:rsid w:val="000203D1"/>
    <w:rsid w:val="00020505"/>
    <w:rsid w:val="000218C2"/>
    <w:rsid w:val="00021C0C"/>
    <w:rsid w:val="00022911"/>
    <w:rsid w:val="000238A7"/>
    <w:rsid w:val="00024297"/>
    <w:rsid w:val="00024766"/>
    <w:rsid w:val="00024961"/>
    <w:rsid w:val="00024FDB"/>
    <w:rsid w:val="00025C09"/>
    <w:rsid w:val="00025C9F"/>
    <w:rsid w:val="00025F98"/>
    <w:rsid w:val="00030A73"/>
    <w:rsid w:val="00030C63"/>
    <w:rsid w:val="00030F6E"/>
    <w:rsid w:val="00031900"/>
    <w:rsid w:val="00033271"/>
    <w:rsid w:val="00033B05"/>
    <w:rsid w:val="0003432D"/>
    <w:rsid w:val="00034651"/>
    <w:rsid w:val="00034711"/>
    <w:rsid w:val="00034826"/>
    <w:rsid w:val="00035661"/>
    <w:rsid w:val="00037B69"/>
    <w:rsid w:val="00040C24"/>
    <w:rsid w:val="00041917"/>
    <w:rsid w:val="00042624"/>
    <w:rsid w:val="00042734"/>
    <w:rsid w:val="000428F4"/>
    <w:rsid w:val="00043E74"/>
    <w:rsid w:val="0004520D"/>
    <w:rsid w:val="000460E9"/>
    <w:rsid w:val="000465C0"/>
    <w:rsid w:val="0004664E"/>
    <w:rsid w:val="00047258"/>
    <w:rsid w:val="00047567"/>
    <w:rsid w:val="000476AA"/>
    <w:rsid w:val="000477A2"/>
    <w:rsid w:val="00051212"/>
    <w:rsid w:val="00051E9D"/>
    <w:rsid w:val="00052939"/>
    <w:rsid w:val="00054252"/>
    <w:rsid w:val="0005526F"/>
    <w:rsid w:val="0005582E"/>
    <w:rsid w:val="00055ECE"/>
    <w:rsid w:val="0005612F"/>
    <w:rsid w:val="000574CE"/>
    <w:rsid w:val="000578CE"/>
    <w:rsid w:val="0005792D"/>
    <w:rsid w:val="000603FD"/>
    <w:rsid w:val="0006109F"/>
    <w:rsid w:val="00061E5D"/>
    <w:rsid w:val="000629AF"/>
    <w:rsid w:val="00062D35"/>
    <w:rsid w:val="00062DAE"/>
    <w:rsid w:val="0006343C"/>
    <w:rsid w:val="000636D3"/>
    <w:rsid w:val="0006392C"/>
    <w:rsid w:val="00063AA3"/>
    <w:rsid w:val="00064E1A"/>
    <w:rsid w:val="000651A0"/>
    <w:rsid w:val="000666EB"/>
    <w:rsid w:val="00067B12"/>
    <w:rsid w:val="00067D38"/>
    <w:rsid w:val="00070EBC"/>
    <w:rsid w:val="000719C5"/>
    <w:rsid w:val="00071D2E"/>
    <w:rsid w:val="00072614"/>
    <w:rsid w:val="00072638"/>
    <w:rsid w:val="00072C39"/>
    <w:rsid w:val="000745AB"/>
    <w:rsid w:val="00074D17"/>
    <w:rsid w:val="00074D31"/>
    <w:rsid w:val="00075B80"/>
    <w:rsid w:val="000774CB"/>
    <w:rsid w:val="0007755D"/>
    <w:rsid w:val="000777D8"/>
    <w:rsid w:val="00077A8E"/>
    <w:rsid w:val="00080002"/>
    <w:rsid w:val="00080737"/>
    <w:rsid w:val="00080A12"/>
    <w:rsid w:val="00080AEF"/>
    <w:rsid w:val="0008153D"/>
    <w:rsid w:val="00081D65"/>
    <w:rsid w:val="00081EBA"/>
    <w:rsid w:val="00082AF4"/>
    <w:rsid w:val="00083079"/>
    <w:rsid w:val="00083252"/>
    <w:rsid w:val="00083EEE"/>
    <w:rsid w:val="00084745"/>
    <w:rsid w:val="00084790"/>
    <w:rsid w:val="0008485C"/>
    <w:rsid w:val="00084951"/>
    <w:rsid w:val="00084A5A"/>
    <w:rsid w:val="00085097"/>
    <w:rsid w:val="00085DAD"/>
    <w:rsid w:val="00086AD1"/>
    <w:rsid w:val="00087AC5"/>
    <w:rsid w:val="00087DA7"/>
    <w:rsid w:val="000905AF"/>
    <w:rsid w:val="00091406"/>
    <w:rsid w:val="00091BED"/>
    <w:rsid w:val="000923B3"/>
    <w:rsid w:val="00092718"/>
    <w:rsid w:val="000938CC"/>
    <w:rsid w:val="000953A7"/>
    <w:rsid w:val="00095927"/>
    <w:rsid w:val="00096956"/>
    <w:rsid w:val="000A05B4"/>
    <w:rsid w:val="000A0781"/>
    <w:rsid w:val="000A0D7F"/>
    <w:rsid w:val="000A1651"/>
    <w:rsid w:val="000A2094"/>
    <w:rsid w:val="000A291E"/>
    <w:rsid w:val="000A2EAD"/>
    <w:rsid w:val="000A4931"/>
    <w:rsid w:val="000A4D04"/>
    <w:rsid w:val="000A7ACB"/>
    <w:rsid w:val="000A7B48"/>
    <w:rsid w:val="000A7C4C"/>
    <w:rsid w:val="000B0AA8"/>
    <w:rsid w:val="000B0E61"/>
    <w:rsid w:val="000B0E81"/>
    <w:rsid w:val="000B20E8"/>
    <w:rsid w:val="000B37C1"/>
    <w:rsid w:val="000B404F"/>
    <w:rsid w:val="000B5586"/>
    <w:rsid w:val="000B668A"/>
    <w:rsid w:val="000B7C8F"/>
    <w:rsid w:val="000C043C"/>
    <w:rsid w:val="000C0F49"/>
    <w:rsid w:val="000C2635"/>
    <w:rsid w:val="000C2825"/>
    <w:rsid w:val="000C3215"/>
    <w:rsid w:val="000C33B6"/>
    <w:rsid w:val="000C3535"/>
    <w:rsid w:val="000C36BE"/>
    <w:rsid w:val="000C40E5"/>
    <w:rsid w:val="000C5910"/>
    <w:rsid w:val="000C5AAD"/>
    <w:rsid w:val="000C67A4"/>
    <w:rsid w:val="000C6B6D"/>
    <w:rsid w:val="000C6D84"/>
    <w:rsid w:val="000C7289"/>
    <w:rsid w:val="000D0688"/>
    <w:rsid w:val="000D06F8"/>
    <w:rsid w:val="000D0F80"/>
    <w:rsid w:val="000D20A5"/>
    <w:rsid w:val="000D2914"/>
    <w:rsid w:val="000D2B22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73E"/>
    <w:rsid w:val="000D6E4C"/>
    <w:rsid w:val="000D77E2"/>
    <w:rsid w:val="000E1349"/>
    <w:rsid w:val="000E1593"/>
    <w:rsid w:val="000E1A8D"/>
    <w:rsid w:val="000E1B29"/>
    <w:rsid w:val="000E2916"/>
    <w:rsid w:val="000E33AA"/>
    <w:rsid w:val="000E3B2C"/>
    <w:rsid w:val="000E412C"/>
    <w:rsid w:val="000E5550"/>
    <w:rsid w:val="000E57D4"/>
    <w:rsid w:val="000E7497"/>
    <w:rsid w:val="000E79EE"/>
    <w:rsid w:val="000E7DAE"/>
    <w:rsid w:val="000E7E00"/>
    <w:rsid w:val="000F045F"/>
    <w:rsid w:val="000F0659"/>
    <w:rsid w:val="000F0BD3"/>
    <w:rsid w:val="000F0DD9"/>
    <w:rsid w:val="000F0FA2"/>
    <w:rsid w:val="000F3F9F"/>
    <w:rsid w:val="000F44AC"/>
    <w:rsid w:val="000F4D85"/>
    <w:rsid w:val="000F5AE3"/>
    <w:rsid w:val="000F6B14"/>
    <w:rsid w:val="000F7B9D"/>
    <w:rsid w:val="00100222"/>
    <w:rsid w:val="00100909"/>
    <w:rsid w:val="00101534"/>
    <w:rsid w:val="0010225B"/>
    <w:rsid w:val="001029E1"/>
    <w:rsid w:val="0010315A"/>
    <w:rsid w:val="00103665"/>
    <w:rsid w:val="00104B4D"/>
    <w:rsid w:val="0010519B"/>
    <w:rsid w:val="00106B14"/>
    <w:rsid w:val="00107135"/>
    <w:rsid w:val="001075D1"/>
    <w:rsid w:val="001105BB"/>
    <w:rsid w:val="00111830"/>
    <w:rsid w:val="00112178"/>
    <w:rsid w:val="001122EF"/>
    <w:rsid w:val="00112B6B"/>
    <w:rsid w:val="00112E13"/>
    <w:rsid w:val="0011302B"/>
    <w:rsid w:val="001137F3"/>
    <w:rsid w:val="00113F6D"/>
    <w:rsid w:val="001161A2"/>
    <w:rsid w:val="00116371"/>
    <w:rsid w:val="0011680B"/>
    <w:rsid w:val="00116DF4"/>
    <w:rsid w:val="001170D9"/>
    <w:rsid w:val="001178CE"/>
    <w:rsid w:val="00117AE4"/>
    <w:rsid w:val="001203FB"/>
    <w:rsid w:val="00120478"/>
    <w:rsid w:val="001204E7"/>
    <w:rsid w:val="0012080B"/>
    <w:rsid w:val="0012094F"/>
    <w:rsid w:val="00120A1D"/>
    <w:rsid w:val="001210B8"/>
    <w:rsid w:val="0012171C"/>
    <w:rsid w:val="00121C5D"/>
    <w:rsid w:val="00121D98"/>
    <w:rsid w:val="0012459E"/>
    <w:rsid w:val="00124782"/>
    <w:rsid w:val="0012487B"/>
    <w:rsid w:val="00124D41"/>
    <w:rsid w:val="00127E2F"/>
    <w:rsid w:val="00130AB3"/>
    <w:rsid w:val="00134044"/>
    <w:rsid w:val="00134539"/>
    <w:rsid w:val="00134EFA"/>
    <w:rsid w:val="00136321"/>
    <w:rsid w:val="0013646B"/>
    <w:rsid w:val="0013688B"/>
    <w:rsid w:val="00140AE1"/>
    <w:rsid w:val="00140EAA"/>
    <w:rsid w:val="001410BA"/>
    <w:rsid w:val="001420ED"/>
    <w:rsid w:val="00142DD8"/>
    <w:rsid w:val="00143486"/>
    <w:rsid w:val="00143530"/>
    <w:rsid w:val="00144307"/>
    <w:rsid w:val="00144661"/>
    <w:rsid w:val="0014494D"/>
    <w:rsid w:val="0014593C"/>
    <w:rsid w:val="001464F6"/>
    <w:rsid w:val="00146B9F"/>
    <w:rsid w:val="00146F69"/>
    <w:rsid w:val="0014790C"/>
    <w:rsid w:val="001479FA"/>
    <w:rsid w:val="00150015"/>
    <w:rsid w:val="001505B0"/>
    <w:rsid w:val="00150777"/>
    <w:rsid w:val="00150830"/>
    <w:rsid w:val="00150DF1"/>
    <w:rsid w:val="001512BD"/>
    <w:rsid w:val="00151452"/>
    <w:rsid w:val="00151D54"/>
    <w:rsid w:val="00151FBA"/>
    <w:rsid w:val="00152DC3"/>
    <w:rsid w:val="00153082"/>
    <w:rsid w:val="001535F3"/>
    <w:rsid w:val="00154AA9"/>
    <w:rsid w:val="00155C1D"/>
    <w:rsid w:val="00156050"/>
    <w:rsid w:val="00156447"/>
    <w:rsid w:val="001565D8"/>
    <w:rsid w:val="001573F3"/>
    <w:rsid w:val="001579D6"/>
    <w:rsid w:val="00157A11"/>
    <w:rsid w:val="00160F51"/>
    <w:rsid w:val="0016125A"/>
    <w:rsid w:val="001618EF"/>
    <w:rsid w:val="0016230C"/>
    <w:rsid w:val="001627CC"/>
    <w:rsid w:val="00162E96"/>
    <w:rsid w:val="00162F92"/>
    <w:rsid w:val="00163063"/>
    <w:rsid w:val="0016331A"/>
    <w:rsid w:val="00164A27"/>
    <w:rsid w:val="00165114"/>
    <w:rsid w:val="001654A6"/>
    <w:rsid w:val="00165C66"/>
    <w:rsid w:val="00165CCD"/>
    <w:rsid w:val="00165F42"/>
    <w:rsid w:val="0016706E"/>
    <w:rsid w:val="00167325"/>
    <w:rsid w:val="00170496"/>
    <w:rsid w:val="00170909"/>
    <w:rsid w:val="00170E92"/>
    <w:rsid w:val="001726D7"/>
    <w:rsid w:val="00172AAD"/>
    <w:rsid w:val="00173334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D84"/>
    <w:rsid w:val="00177DD4"/>
    <w:rsid w:val="00180A13"/>
    <w:rsid w:val="00181037"/>
    <w:rsid w:val="00181CB1"/>
    <w:rsid w:val="00182F3D"/>
    <w:rsid w:val="00183EC1"/>
    <w:rsid w:val="00183F45"/>
    <w:rsid w:val="0018445A"/>
    <w:rsid w:val="001859F2"/>
    <w:rsid w:val="0018719C"/>
    <w:rsid w:val="00187C8D"/>
    <w:rsid w:val="001905AF"/>
    <w:rsid w:val="00190CB4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3611"/>
    <w:rsid w:val="001A3BF8"/>
    <w:rsid w:val="001A5CCF"/>
    <w:rsid w:val="001A5ECC"/>
    <w:rsid w:val="001A69F5"/>
    <w:rsid w:val="001A76BF"/>
    <w:rsid w:val="001A7727"/>
    <w:rsid w:val="001B0834"/>
    <w:rsid w:val="001B0E0F"/>
    <w:rsid w:val="001B1064"/>
    <w:rsid w:val="001B2E87"/>
    <w:rsid w:val="001B30C2"/>
    <w:rsid w:val="001B3C2E"/>
    <w:rsid w:val="001B3FB6"/>
    <w:rsid w:val="001B4D04"/>
    <w:rsid w:val="001B4FB7"/>
    <w:rsid w:val="001B566C"/>
    <w:rsid w:val="001B5B34"/>
    <w:rsid w:val="001B6FDC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9E2"/>
    <w:rsid w:val="001D2DBD"/>
    <w:rsid w:val="001D3B11"/>
    <w:rsid w:val="001D41F2"/>
    <w:rsid w:val="001D519C"/>
    <w:rsid w:val="001D57F1"/>
    <w:rsid w:val="001D6612"/>
    <w:rsid w:val="001D73FC"/>
    <w:rsid w:val="001E02CF"/>
    <w:rsid w:val="001E0BC4"/>
    <w:rsid w:val="001E0D33"/>
    <w:rsid w:val="001E1D6D"/>
    <w:rsid w:val="001E2764"/>
    <w:rsid w:val="001E2D4D"/>
    <w:rsid w:val="001E31F6"/>
    <w:rsid w:val="001E39D1"/>
    <w:rsid w:val="001E4BF2"/>
    <w:rsid w:val="001E4C34"/>
    <w:rsid w:val="001E58AF"/>
    <w:rsid w:val="001E5924"/>
    <w:rsid w:val="001E6A78"/>
    <w:rsid w:val="001E7543"/>
    <w:rsid w:val="001E7C4D"/>
    <w:rsid w:val="001F0435"/>
    <w:rsid w:val="001F0DCB"/>
    <w:rsid w:val="001F1C77"/>
    <w:rsid w:val="001F2302"/>
    <w:rsid w:val="001F2EE6"/>
    <w:rsid w:val="001F38C3"/>
    <w:rsid w:val="001F397D"/>
    <w:rsid w:val="001F46FB"/>
    <w:rsid w:val="001F487F"/>
    <w:rsid w:val="001F4C95"/>
    <w:rsid w:val="001F5CA1"/>
    <w:rsid w:val="001F5EF1"/>
    <w:rsid w:val="001F72E9"/>
    <w:rsid w:val="001F78D0"/>
    <w:rsid w:val="001F7FBF"/>
    <w:rsid w:val="00200B06"/>
    <w:rsid w:val="00202EE4"/>
    <w:rsid w:val="00202F8F"/>
    <w:rsid w:val="00203558"/>
    <w:rsid w:val="002038B7"/>
    <w:rsid w:val="002039A1"/>
    <w:rsid w:val="00204128"/>
    <w:rsid w:val="002047D4"/>
    <w:rsid w:val="002058A3"/>
    <w:rsid w:val="002058E0"/>
    <w:rsid w:val="00206745"/>
    <w:rsid w:val="00206D0A"/>
    <w:rsid w:val="00207550"/>
    <w:rsid w:val="00207E85"/>
    <w:rsid w:val="0021029A"/>
    <w:rsid w:val="00210555"/>
    <w:rsid w:val="0021115E"/>
    <w:rsid w:val="002115C9"/>
    <w:rsid w:val="002116D6"/>
    <w:rsid w:val="0021181A"/>
    <w:rsid w:val="00211979"/>
    <w:rsid w:val="00211E08"/>
    <w:rsid w:val="00213901"/>
    <w:rsid w:val="00213E4B"/>
    <w:rsid w:val="00214027"/>
    <w:rsid w:val="0021436B"/>
    <w:rsid w:val="00214497"/>
    <w:rsid w:val="0021552E"/>
    <w:rsid w:val="00215AFE"/>
    <w:rsid w:val="00215DCD"/>
    <w:rsid w:val="00216066"/>
    <w:rsid w:val="00216549"/>
    <w:rsid w:val="002170C8"/>
    <w:rsid w:val="002177E3"/>
    <w:rsid w:val="002178B9"/>
    <w:rsid w:val="00217DA4"/>
    <w:rsid w:val="00220813"/>
    <w:rsid w:val="00221A16"/>
    <w:rsid w:val="00222038"/>
    <w:rsid w:val="002226C5"/>
    <w:rsid w:val="002232F7"/>
    <w:rsid w:val="00224394"/>
    <w:rsid w:val="00227C65"/>
    <w:rsid w:val="0023019B"/>
    <w:rsid w:val="00230F17"/>
    <w:rsid w:val="00231C73"/>
    <w:rsid w:val="00231E5B"/>
    <w:rsid w:val="00233EA1"/>
    <w:rsid w:val="00234238"/>
    <w:rsid w:val="00236053"/>
    <w:rsid w:val="002370F4"/>
    <w:rsid w:val="00237367"/>
    <w:rsid w:val="00237805"/>
    <w:rsid w:val="00237C8B"/>
    <w:rsid w:val="0024009D"/>
    <w:rsid w:val="00241109"/>
    <w:rsid w:val="00243AB0"/>
    <w:rsid w:val="00243B56"/>
    <w:rsid w:val="00243FFD"/>
    <w:rsid w:val="00244D61"/>
    <w:rsid w:val="00244E9C"/>
    <w:rsid w:val="00244EE9"/>
    <w:rsid w:val="00245063"/>
    <w:rsid w:val="0024507F"/>
    <w:rsid w:val="00245A6B"/>
    <w:rsid w:val="00245CD5"/>
    <w:rsid w:val="00245DDD"/>
    <w:rsid w:val="00246135"/>
    <w:rsid w:val="0024677B"/>
    <w:rsid w:val="00246858"/>
    <w:rsid w:val="00246CD1"/>
    <w:rsid w:val="00247057"/>
    <w:rsid w:val="00247D94"/>
    <w:rsid w:val="002503BC"/>
    <w:rsid w:val="00250C7F"/>
    <w:rsid w:val="00251528"/>
    <w:rsid w:val="00251B7B"/>
    <w:rsid w:val="002524B8"/>
    <w:rsid w:val="00253E60"/>
    <w:rsid w:val="0025400E"/>
    <w:rsid w:val="0025408C"/>
    <w:rsid w:val="00254834"/>
    <w:rsid w:val="00254A94"/>
    <w:rsid w:val="00260C0C"/>
    <w:rsid w:val="00260D73"/>
    <w:rsid w:val="0026164C"/>
    <w:rsid w:val="00261A0A"/>
    <w:rsid w:val="00261A3C"/>
    <w:rsid w:val="00262438"/>
    <w:rsid w:val="00262835"/>
    <w:rsid w:val="00265C57"/>
    <w:rsid w:val="00266527"/>
    <w:rsid w:val="00266574"/>
    <w:rsid w:val="00266624"/>
    <w:rsid w:val="00266859"/>
    <w:rsid w:val="00266F05"/>
    <w:rsid w:val="002678EA"/>
    <w:rsid w:val="00267B2C"/>
    <w:rsid w:val="002701CC"/>
    <w:rsid w:val="002703D3"/>
    <w:rsid w:val="00271712"/>
    <w:rsid w:val="00271B83"/>
    <w:rsid w:val="00272092"/>
    <w:rsid w:val="00272D90"/>
    <w:rsid w:val="00273009"/>
    <w:rsid w:val="00274001"/>
    <w:rsid w:val="002745CC"/>
    <w:rsid w:val="00274BE4"/>
    <w:rsid w:val="00274CB8"/>
    <w:rsid w:val="00275730"/>
    <w:rsid w:val="00276069"/>
    <w:rsid w:val="00276660"/>
    <w:rsid w:val="00276DE9"/>
    <w:rsid w:val="00276F7F"/>
    <w:rsid w:val="00277366"/>
    <w:rsid w:val="002806DD"/>
    <w:rsid w:val="00280A3B"/>
    <w:rsid w:val="002811FF"/>
    <w:rsid w:val="00281597"/>
    <w:rsid w:val="00281AB5"/>
    <w:rsid w:val="00282077"/>
    <w:rsid w:val="002822B6"/>
    <w:rsid w:val="002835E9"/>
    <w:rsid w:val="0028481E"/>
    <w:rsid w:val="0028489B"/>
    <w:rsid w:val="00285FBC"/>
    <w:rsid w:val="00286543"/>
    <w:rsid w:val="00286786"/>
    <w:rsid w:val="00287485"/>
    <w:rsid w:val="00287CCD"/>
    <w:rsid w:val="00290256"/>
    <w:rsid w:val="00290535"/>
    <w:rsid w:val="002906CC"/>
    <w:rsid w:val="002916D8"/>
    <w:rsid w:val="00293675"/>
    <w:rsid w:val="00293A29"/>
    <w:rsid w:val="00293D63"/>
    <w:rsid w:val="00293EE6"/>
    <w:rsid w:val="002958C7"/>
    <w:rsid w:val="0029662D"/>
    <w:rsid w:val="00297479"/>
    <w:rsid w:val="00297766"/>
    <w:rsid w:val="002979E6"/>
    <w:rsid w:val="002A0057"/>
    <w:rsid w:val="002A066E"/>
    <w:rsid w:val="002A0A2D"/>
    <w:rsid w:val="002A0B53"/>
    <w:rsid w:val="002A322C"/>
    <w:rsid w:val="002A323D"/>
    <w:rsid w:val="002A36B6"/>
    <w:rsid w:val="002A40CA"/>
    <w:rsid w:val="002A48FB"/>
    <w:rsid w:val="002A4E13"/>
    <w:rsid w:val="002A5CE3"/>
    <w:rsid w:val="002A67E2"/>
    <w:rsid w:val="002A6834"/>
    <w:rsid w:val="002B0137"/>
    <w:rsid w:val="002B023B"/>
    <w:rsid w:val="002B036D"/>
    <w:rsid w:val="002B0736"/>
    <w:rsid w:val="002B1271"/>
    <w:rsid w:val="002B2F1A"/>
    <w:rsid w:val="002B3260"/>
    <w:rsid w:val="002B45D5"/>
    <w:rsid w:val="002B4B93"/>
    <w:rsid w:val="002B4E37"/>
    <w:rsid w:val="002B5235"/>
    <w:rsid w:val="002B5F90"/>
    <w:rsid w:val="002B613F"/>
    <w:rsid w:val="002B66EC"/>
    <w:rsid w:val="002B7726"/>
    <w:rsid w:val="002B7DBC"/>
    <w:rsid w:val="002C03DD"/>
    <w:rsid w:val="002C111E"/>
    <w:rsid w:val="002C117A"/>
    <w:rsid w:val="002C299C"/>
    <w:rsid w:val="002C2CAB"/>
    <w:rsid w:val="002C5017"/>
    <w:rsid w:val="002C5585"/>
    <w:rsid w:val="002C7220"/>
    <w:rsid w:val="002D13CA"/>
    <w:rsid w:val="002D1A84"/>
    <w:rsid w:val="002D2A73"/>
    <w:rsid w:val="002D3A4E"/>
    <w:rsid w:val="002D3B8E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8AB"/>
    <w:rsid w:val="002E16C1"/>
    <w:rsid w:val="002E2550"/>
    <w:rsid w:val="002E288D"/>
    <w:rsid w:val="002E58F2"/>
    <w:rsid w:val="002E68EB"/>
    <w:rsid w:val="002E767F"/>
    <w:rsid w:val="002E7A95"/>
    <w:rsid w:val="002F17C6"/>
    <w:rsid w:val="002F2522"/>
    <w:rsid w:val="002F30CE"/>
    <w:rsid w:val="002F34D4"/>
    <w:rsid w:val="002F3660"/>
    <w:rsid w:val="002F369F"/>
    <w:rsid w:val="002F463B"/>
    <w:rsid w:val="002F6402"/>
    <w:rsid w:val="002F68E9"/>
    <w:rsid w:val="002F6A17"/>
    <w:rsid w:val="002F6B3D"/>
    <w:rsid w:val="003011F5"/>
    <w:rsid w:val="003016B4"/>
    <w:rsid w:val="0030194A"/>
    <w:rsid w:val="003023D6"/>
    <w:rsid w:val="00302587"/>
    <w:rsid w:val="00302A6F"/>
    <w:rsid w:val="00303F9E"/>
    <w:rsid w:val="00303FF8"/>
    <w:rsid w:val="00304787"/>
    <w:rsid w:val="003048B3"/>
    <w:rsid w:val="003056E4"/>
    <w:rsid w:val="0030656C"/>
    <w:rsid w:val="00306A67"/>
    <w:rsid w:val="00307389"/>
    <w:rsid w:val="003076F3"/>
    <w:rsid w:val="00310016"/>
    <w:rsid w:val="003106D8"/>
    <w:rsid w:val="00311338"/>
    <w:rsid w:val="003126CE"/>
    <w:rsid w:val="00312865"/>
    <w:rsid w:val="003138A5"/>
    <w:rsid w:val="00313FA9"/>
    <w:rsid w:val="00314AD9"/>
    <w:rsid w:val="00315733"/>
    <w:rsid w:val="003158EE"/>
    <w:rsid w:val="00315A66"/>
    <w:rsid w:val="00315A89"/>
    <w:rsid w:val="00316D26"/>
    <w:rsid w:val="00320296"/>
    <w:rsid w:val="003211A6"/>
    <w:rsid w:val="00321AE9"/>
    <w:rsid w:val="0032314D"/>
    <w:rsid w:val="00323510"/>
    <w:rsid w:val="003238BA"/>
    <w:rsid w:val="0032436A"/>
    <w:rsid w:val="003248F3"/>
    <w:rsid w:val="00325E8B"/>
    <w:rsid w:val="003266D3"/>
    <w:rsid w:val="00330247"/>
    <w:rsid w:val="0033070B"/>
    <w:rsid w:val="003309EC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6DAE"/>
    <w:rsid w:val="003375AD"/>
    <w:rsid w:val="00337B04"/>
    <w:rsid w:val="00337BCD"/>
    <w:rsid w:val="00337C0E"/>
    <w:rsid w:val="00340889"/>
    <w:rsid w:val="003408C8"/>
    <w:rsid w:val="00342970"/>
    <w:rsid w:val="00342C3C"/>
    <w:rsid w:val="00342F42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0D31"/>
    <w:rsid w:val="0035162B"/>
    <w:rsid w:val="00352943"/>
    <w:rsid w:val="00352B8C"/>
    <w:rsid w:val="00352DF6"/>
    <w:rsid w:val="003530D5"/>
    <w:rsid w:val="00353661"/>
    <w:rsid w:val="00353B89"/>
    <w:rsid w:val="00354AC3"/>
    <w:rsid w:val="003557A7"/>
    <w:rsid w:val="00355985"/>
    <w:rsid w:val="00355CC6"/>
    <w:rsid w:val="0035625F"/>
    <w:rsid w:val="003572FC"/>
    <w:rsid w:val="00360135"/>
    <w:rsid w:val="0036110B"/>
    <w:rsid w:val="003614CA"/>
    <w:rsid w:val="00361680"/>
    <w:rsid w:val="00361C24"/>
    <w:rsid w:val="003621B9"/>
    <w:rsid w:val="00363733"/>
    <w:rsid w:val="003643B6"/>
    <w:rsid w:val="003644BF"/>
    <w:rsid w:val="00365304"/>
    <w:rsid w:val="00365438"/>
    <w:rsid w:val="00365931"/>
    <w:rsid w:val="00366610"/>
    <w:rsid w:val="00367485"/>
    <w:rsid w:val="00367CDF"/>
    <w:rsid w:val="00370144"/>
    <w:rsid w:val="00370D0E"/>
    <w:rsid w:val="00371299"/>
    <w:rsid w:val="00371334"/>
    <w:rsid w:val="00371932"/>
    <w:rsid w:val="00371D13"/>
    <w:rsid w:val="00372147"/>
    <w:rsid w:val="00372257"/>
    <w:rsid w:val="00372A9C"/>
    <w:rsid w:val="003735E9"/>
    <w:rsid w:val="00373B59"/>
    <w:rsid w:val="00373D45"/>
    <w:rsid w:val="00374C67"/>
    <w:rsid w:val="00376A6C"/>
    <w:rsid w:val="00376DBD"/>
    <w:rsid w:val="0037751F"/>
    <w:rsid w:val="00377B8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62CE"/>
    <w:rsid w:val="00387C30"/>
    <w:rsid w:val="0039018A"/>
    <w:rsid w:val="003902CD"/>
    <w:rsid w:val="00390B87"/>
    <w:rsid w:val="0039113B"/>
    <w:rsid w:val="0039157E"/>
    <w:rsid w:val="00391692"/>
    <w:rsid w:val="0039256E"/>
    <w:rsid w:val="00392A47"/>
    <w:rsid w:val="00392AB0"/>
    <w:rsid w:val="00392BFB"/>
    <w:rsid w:val="003945F9"/>
    <w:rsid w:val="003946CD"/>
    <w:rsid w:val="00395624"/>
    <w:rsid w:val="00395FAE"/>
    <w:rsid w:val="00396272"/>
    <w:rsid w:val="003A0774"/>
    <w:rsid w:val="003A1081"/>
    <w:rsid w:val="003A16CB"/>
    <w:rsid w:val="003A3152"/>
    <w:rsid w:val="003A33CD"/>
    <w:rsid w:val="003A3DCA"/>
    <w:rsid w:val="003A4C7B"/>
    <w:rsid w:val="003A5DFD"/>
    <w:rsid w:val="003A5F3B"/>
    <w:rsid w:val="003A6937"/>
    <w:rsid w:val="003A69E2"/>
    <w:rsid w:val="003A6C55"/>
    <w:rsid w:val="003A6F30"/>
    <w:rsid w:val="003A73E2"/>
    <w:rsid w:val="003B0159"/>
    <w:rsid w:val="003B1139"/>
    <w:rsid w:val="003B1936"/>
    <w:rsid w:val="003B1D9B"/>
    <w:rsid w:val="003B254B"/>
    <w:rsid w:val="003B2D7F"/>
    <w:rsid w:val="003B4F88"/>
    <w:rsid w:val="003B4FA0"/>
    <w:rsid w:val="003B521C"/>
    <w:rsid w:val="003B5707"/>
    <w:rsid w:val="003B5F05"/>
    <w:rsid w:val="003B6443"/>
    <w:rsid w:val="003B6C4E"/>
    <w:rsid w:val="003B6D44"/>
    <w:rsid w:val="003B727A"/>
    <w:rsid w:val="003B786C"/>
    <w:rsid w:val="003B7DFC"/>
    <w:rsid w:val="003C0966"/>
    <w:rsid w:val="003C0AD3"/>
    <w:rsid w:val="003C1647"/>
    <w:rsid w:val="003C3A77"/>
    <w:rsid w:val="003C479B"/>
    <w:rsid w:val="003C4A96"/>
    <w:rsid w:val="003C5673"/>
    <w:rsid w:val="003C5C14"/>
    <w:rsid w:val="003C6479"/>
    <w:rsid w:val="003C64C5"/>
    <w:rsid w:val="003C6DFA"/>
    <w:rsid w:val="003C7139"/>
    <w:rsid w:val="003C7543"/>
    <w:rsid w:val="003C7EE2"/>
    <w:rsid w:val="003D0255"/>
    <w:rsid w:val="003D0499"/>
    <w:rsid w:val="003D181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22AD"/>
    <w:rsid w:val="003E3F49"/>
    <w:rsid w:val="003E4236"/>
    <w:rsid w:val="003E45D7"/>
    <w:rsid w:val="003E4A86"/>
    <w:rsid w:val="003E5499"/>
    <w:rsid w:val="003E549E"/>
    <w:rsid w:val="003E5B37"/>
    <w:rsid w:val="003E704F"/>
    <w:rsid w:val="003E78F5"/>
    <w:rsid w:val="003E7A6D"/>
    <w:rsid w:val="003E7B5B"/>
    <w:rsid w:val="003F04B0"/>
    <w:rsid w:val="003F0EF7"/>
    <w:rsid w:val="003F145E"/>
    <w:rsid w:val="003F1673"/>
    <w:rsid w:val="003F265E"/>
    <w:rsid w:val="003F3263"/>
    <w:rsid w:val="003F3308"/>
    <w:rsid w:val="003F3483"/>
    <w:rsid w:val="003F3A7E"/>
    <w:rsid w:val="003F4A55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F28"/>
    <w:rsid w:val="0040112C"/>
    <w:rsid w:val="004012FA"/>
    <w:rsid w:val="004023CF"/>
    <w:rsid w:val="00403157"/>
    <w:rsid w:val="00404C2C"/>
    <w:rsid w:val="00405144"/>
    <w:rsid w:val="0040620A"/>
    <w:rsid w:val="004068CD"/>
    <w:rsid w:val="0040698F"/>
    <w:rsid w:val="00407B07"/>
    <w:rsid w:val="00411988"/>
    <w:rsid w:val="0041222F"/>
    <w:rsid w:val="00412839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20810"/>
    <w:rsid w:val="00420E58"/>
    <w:rsid w:val="00421A11"/>
    <w:rsid w:val="00421D64"/>
    <w:rsid w:val="00421E98"/>
    <w:rsid w:val="004223A7"/>
    <w:rsid w:val="00423728"/>
    <w:rsid w:val="00423A73"/>
    <w:rsid w:val="00424573"/>
    <w:rsid w:val="00424974"/>
    <w:rsid w:val="00425142"/>
    <w:rsid w:val="00425B7B"/>
    <w:rsid w:val="00426BC8"/>
    <w:rsid w:val="00426BC9"/>
    <w:rsid w:val="00426DC4"/>
    <w:rsid w:val="00426F11"/>
    <w:rsid w:val="004274B3"/>
    <w:rsid w:val="0043210B"/>
    <w:rsid w:val="00434775"/>
    <w:rsid w:val="00434B3F"/>
    <w:rsid w:val="00434FC9"/>
    <w:rsid w:val="00435750"/>
    <w:rsid w:val="00436381"/>
    <w:rsid w:val="00436925"/>
    <w:rsid w:val="0043786A"/>
    <w:rsid w:val="00437D31"/>
    <w:rsid w:val="004414D4"/>
    <w:rsid w:val="004415D8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864"/>
    <w:rsid w:val="00446A8F"/>
    <w:rsid w:val="0044721D"/>
    <w:rsid w:val="00452151"/>
    <w:rsid w:val="00452174"/>
    <w:rsid w:val="00452291"/>
    <w:rsid w:val="00452350"/>
    <w:rsid w:val="004527FB"/>
    <w:rsid w:val="00452BD9"/>
    <w:rsid w:val="004536BE"/>
    <w:rsid w:val="00455DE7"/>
    <w:rsid w:val="00456BED"/>
    <w:rsid w:val="00456EC5"/>
    <w:rsid w:val="004574AF"/>
    <w:rsid w:val="004578EE"/>
    <w:rsid w:val="00457BE6"/>
    <w:rsid w:val="0046072E"/>
    <w:rsid w:val="00461712"/>
    <w:rsid w:val="00461949"/>
    <w:rsid w:val="004631C4"/>
    <w:rsid w:val="004633B4"/>
    <w:rsid w:val="00463987"/>
    <w:rsid w:val="004642CA"/>
    <w:rsid w:val="0046484D"/>
    <w:rsid w:val="0046534E"/>
    <w:rsid w:val="0046722B"/>
    <w:rsid w:val="00467998"/>
    <w:rsid w:val="00470F5C"/>
    <w:rsid w:val="00471AC3"/>
    <w:rsid w:val="00471EE7"/>
    <w:rsid w:val="004725C7"/>
    <w:rsid w:val="00473E7B"/>
    <w:rsid w:val="004759D6"/>
    <w:rsid w:val="00475BCA"/>
    <w:rsid w:val="004764EF"/>
    <w:rsid w:val="00476BBB"/>
    <w:rsid w:val="00476C26"/>
    <w:rsid w:val="004771D8"/>
    <w:rsid w:val="00480922"/>
    <w:rsid w:val="00480ACD"/>
    <w:rsid w:val="00480B67"/>
    <w:rsid w:val="00481686"/>
    <w:rsid w:val="00483F5D"/>
    <w:rsid w:val="004848FE"/>
    <w:rsid w:val="004852C9"/>
    <w:rsid w:val="0048708D"/>
    <w:rsid w:val="0049016D"/>
    <w:rsid w:val="00490B73"/>
    <w:rsid w:val="00492303"/>
    <w:rsid w:val="00493B8F"/>
    <w:rsid w:val="0049407B"/>
    <w:rsid w:val="00494F57"/>
    <w:rsid w:val="004953BC"/>
    <w:rsid w:val="00495C55"/>
    <w:rsid w:val="00495CB8"/>
    <w:rsid w:val="00495D50"/>
    <w:rsid w:val="004961B2"/>
    <w:rsid w:val="00496667"/>
    <w:rsid w:val="004966A4"/>
    <w:rsid w:val="004966C7"/>
    <w:rsid w:val="004967FC"/>
    <w:rsid w:val="00496B8B"/>
    <w:rsid w:val="004A017C"/>
    <w:rsid w:val="004A0CAA"/>
    <w:rsid w:val="004A12E1"/>
    <w:rsid w:val="004A14C9"/>
    <w:rsid w:val="004A3B28"/>
    <w:rsid w:val="004A3EBE"/>
    <w:rsid w:val="004A5235"/>
    <w:rsid w:val="004A5741"/>
    <w:rsid w:val="004A596C"/>
    <w:rsid w:val="004A63AD"/>
    <w:rsid w:val="004A6794"/>
    <w:rsid w:val="004B0226"/>
    <w:rsid w:val="004B0820"/>
    <w:rsid w:val="004B15E9"/>
    <w:rsid w:val="004B17D9"/>
    <w:rsid w:val="004B1CB9"/>
    <w:rsid w:val="004B1EC5"/>
    <w:rsid w:val="004B24BD"/>
    <w:rsid w:val="004B2BA5"/>
    <w:rsid w:val="004B2CD9"/>
    <w:rsid w:val="004B3280"/>
    <w:rsid w:val="004B3B7F"/>
    <w:rsid w:val="004B40B7"/>
    <w:rsid w:val="004B4329"/>
    <w:rsid w:val="004B4F57"/>
    <w:rsid w:val="004B52DE"/>
    <w:rsid w:val="004B6380"/>
    <w:rsid w:val="004B7496"/>
    <w:rsid w:val="004B7567"/>
    <w:rsid w:val="004C08B5"/>
    <w:rsid w:val="004C270A"/>
    <w:rsid w:val="004C307F"/>
    <w:rsid w:val="004C31DC"/>
    <w:rsid w:val="004C3868"/>
    <w:rsid w:val="004C38A4"/>
    <w:rsid w:val="004C3EB6"/>
    <w:rsid w:val="004C411B"/>
    <w:rsid w:val="004C423B"/>
    <w:rsid w:val="004C4286"/>
    <w:rsid w:val="004C446E"/>
    <w:rsid w:val="004C44F0"/>
    <w:rsid w:val="004C53DD"/>
    <w:rsid w:val="004C6149"/>
    <w:rsid w:val="004C6A56"/>
    <w:rsid w:val="004C6C54"/>
    <w:rsid w:val="004C7152"/>
    <w:rsid w:val="004C7AEB"/>
    <w:rsid w:val="004C7DD6"/>
    <w:rsid w:val="004D08C9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F4"/>
    <w:rsid w:val="004D61BA"/>
    <w:rsid w:val="004D6417"/>
    <w:rsid w:val="004D6650"/>
    <w:rsid w:val="004D66CD"/>
    <w:rsid w:val="004E07BA"/>
    <w:rsid w:val="004E150D"/>
    <w:rsid w:val="004E3B5B"/>
    <w:rsid w:val="004E401A"/>
    <w:rsid w:val="004E4083"/>
    <w:rsid w:val="004E4D86"/>
    <w:rsid w:val="004E5D16"/>
    <w:rsid w:val="004E63BB"/>
    <w:rsid w:val="004E77E8"/>
    <w:rsid w:val="004F0ABF"/>
    <w:rsid w:val="004F2434"/>
    <w:rsid w:val="004F4351"/>
    <w:rsid w:val="004F49E6"/>
    <w:rsid w:val="004F4D8C"/>
    <w:rsid w:val="004F5193"/>
    <w:rsid w:val="004F6047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117D"/>
    <w:rsid w:val="00502546"/>
    <w:rsid w:val="0050283B"/>
    <w:rsid w:val="00502EA5"/>
    <w:rsid w:val="00503451"/>
    <w:rsid w:val="0050357C"/>
    <w:rsid w:val="0050374B"/>
    <w:rsid w:val="005038BC"/>
    <w:rsid w:val="00504209"/>
    <w:rsid w:val="00504907"/>
    <w:rsid w:val="005054E3"/>
    <w:rsid w:val="0050586C"/>
    <w:rsid w:val="00505AEC"/>
    <w:rsid w:val="00506D5A"/>
    <w:rsid w:val="00507306"/>
    <w:rsid w:val="00507801"/>
    <w:rsid w:val="00507CD8"/>
    <w:rsid w:val="005102EA"/>
    <w:rsid w:val="00510ABF"/>
    <w:rsid w:val="00510CBE"/>
    <w:rsid w:val="00511638"/>
    <w:rsid w:val="00511B1E"/>
    <w:rsid w:val="0051239C"/>
    <w:rsid w:val="005124CD"/>
    <w:rsid w:val="00512881"/>
    <w:rsid w:val="00513DCE"/>
    <w:rsid w:val="00513DEC"/>
    <w:rsid w:val="00514915"/>
    <w:rsid w:val="00515062"/>
    <w:rsid w:val="00516C03"/>
    <w:rsid w:val="0052185D"/>
    <w:rsid w:val="005220B9"/>
    <w:rsid w:val="0052254F"/>
    <w:rsid w:val="00522A90"/>
    <w:rsid w:val="005233D9"/>
    <w:rsid w:val="0052395D"/>
    <w:rsid w:val="005251F4"/>
    <w:rsid w:val="0052693E"/>
    <w:rsid w:val="00526BDE"/>
    <w:rsid w:val="00527642"/>
    <w:rsid w:val="005314B2"/>
    <w:rsid w:val="00531FAB"/>
    <w:rsid w:val="005320F0"/>
    <w:rsid w:val="005320F4"/>
    <w:rsid w:val="00532A75"/>
    <w:rsid w:val="00532AAB"/>
    <w:rsid w:val="00534CAF"/>
    <w:rsid w:val="00534E8D"/>
    <w:rsid w:val="005354D1"/>
    <w:rsid w:val="00536441"/>
    <w:rsid w:val="005369AB"/>
    <w:rsid w:val="00537DF3"/>
    <w:rsid w:val="00540C7C"/>
    <w:rsid w:val="00541635"/>
    <w:rsid w:val="00541638"/>
    <w:rsid w:val="00542763"/>
    <w:rsid w:val="00543308"/>
    <w:rsid w:val="00543429"/>
    <w:rsid w:val="005446A7"/>
    <w:rsid w:val="00545736"/>
    <w:rsid w:val="00545ECE"/>
    <w:rsid w:val="00546B9B"/>
    <w:rsid w:val="00546DD8"/>
    <w:rsid w:val="00546F2A"/>
    <w:rsid w:val="0054775E"/>
    <w:rsid w:val="00547F10"/>
    <w:rsid w:val="00550AC6"/>
    <w:rsid w:val="00551348"/>
    <w:rsid w:val="005515C5"/>
    <w:rsid w:val="005517C7"/>
    <w:rsid w:val="00551AD5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9C"/>
    <w:rsid w:val="00561D46"/>
    <w:rsid w:val="00561E40"/>
    <w:rsid w:val="005624B6"/>
    <w:rsid w:val="00563DE7"/>
    <w:rsid w:val="00564EA5"/>
    <w:rsid w:val="00565DF6"/>
    <w:rsid w:val="00567245"/>
    <w:rsid w:val="005702C6"/>
    <w:rsid w:val="005702E9"/>
    <w:rsid w:val="005706C4"/>
    <w:rsid w:val="0057081E"/>
    <w:rsid w:val="005708FC"/>
    <w:rsid w:val="00570EAF"/>
    <w:rsid w:val="00571607"/>
    <w:rsid w:val="0057179A"/>
    <w:rsid w:val="0057223B"/>
    <w:rsid w:val="00572D3B"/>
    <w:rsid w:val="00572F47"/>
    <w:rsid w:val="005733F0"/>
    <w:rsid w:val="00574809"/>
    <w:rsid w:val="00574EC3"/>
    <w:rsid w:val="00575A2B"/>
    <w:rsid w:val="00575FFF"/>
    <w:rsid w:val="00576001"/>
    <w:rsid w:val="00576478"/>
    <w:rsid w:val="0057680C"/>
    <w:rsid w:val="00577ECA"/>
    <w:rsid w:val="005802A4"/>
    <w:rsid w:val="0058065A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FB1"/>
    <w:rsid w:val="00586FB8"/>
    <w:rsid w:val="00587F13"/>
    <w:rsid w:val="0059009A"/>
    <w:rsid w:val="00590CCD"/>
    <w:rsid w:val="005916CB"/>
    <w:rsid w:val="0059256F"/>
    <w:rsid w:val="0059372B"/>
    <w:rsid w:val="00593885"/>
    <w:rsid w:val="00595851"/>
    <w:rsid w:val="00596728"/>
    <w:rsid w:val="005969C4"/>
    <w:rsid w:val="005973C0"/>
    <w:rsid w:val="00597F8F"/>
    <w:rsid w:val="005A041D"/>
    <w:rsid w:val="005A0D35"/>
    <w:rsid w:val="005A16BB"/>
    <w:rsid w:val="005A35A4"/>
    <w:rsid w:val="005A391A"/>
    <w:rsid w:val="005A4966"/>
    <w:rsid w:val="005A52D7"/>
    <w:rsid w:val="005A574C"/>
    <w:rsid w:val="005A5913"/>
    <w:rsid w:val="005A5F3D"/>
    <w:rsid w:val="005A7220"/>
    <w:rsid w:val="005B0E47"/>
    <w:rsid w:val="005B2204"/>
    <w:rsid w:val="005B2390"/>
    <w:rsid w:val="005B35A1"/>
    <w:rsid w:val="005B35D1"/>
    <w:rsid w:val="005B3A7B"/>
    <w:rsid w:val="005B4B36"/>
    <w:rsid w:val="005B4EEC"/>
    <w:rsid w:val="005B4F24"/>
    <w:rsid w:val="005B5B8D"/>
    <w:rsid w:val="005B5ED4"/>
    <w:rsid w:val="005B6F11"/>
    <w:rsid w:val="005C0EEF"/>
    <w:rsid w:val="005C109F"/>
    <w:rsid w:val="005C1277"/>
    <w:rsid w:val="005C1FBD"/>
    <w:rsid w:val="005C39C8"/>
    <w:rsid w:val="005C57B4"/>
    <w:rsid w:val="005C60E1"/>
    <w:rsid w:val="005C67E8"/>
    <w:rsid w:val="005D01CE"/>
    <w:rsid w:val="005D0C9A"/>
    <w:rsid w:val="005D0D32"/>
    <w:rsid w:val="005D109C"/>
    <w:rsid w:val="005D11CA"/>
    <w:rsid w:val="005D29E8"/>
    <w:rsid w:val="005D2BA4"/>
    <w:rsid w:val="005D36D1"/>
    <w:rsid w:val="005D6231"/>
    <w:rsid w:val="005D63D8"/>
    <w:rsid w:val="005D6C29"/>
    <w:rsid w:val="005D7131"/>
    <w:rsid w:val="005E00B4"/>
    <w:rsid w:val="005E02A2"/>
    <w:rsid w:val="005E2065"/>
    <w:rsid w:val="005E256D"/>
    <w:rsid w:val="005E2A9F"/>
    <w:rsid w:val="005E2FC3"/>
    <w:rsid w:val="005E3576"/>
    <w:rsid w:val="005E377D"/>
    <w:rsid w:val="005E37B9"/>
    <w:rsid w:val="005E37CA"/>
    <w:rsid w:val="005E3E0D"/>
    <w:rsid w:val="005E46E5"/>
    <w:rsid w:val="005E486C"/>
    <w:rsid w:val="005E5564"/>
    <w:rsid w:val="005E587F"/>
    <w:rsid w:val="005E5ED7"/>
    <w:rsid w:val="005E64D5"/>
    <w:rsid w:val="005E74CC"/>
    <w:rsid w:val="005E7897"/>
    <w:rsid w:val="005E7A47"/>
    <w:rsid w:val="005E7E26"/>
    <w:rsid w:val="005F09B7"/>
    <w:rsid w:val="005F0FE2"/>
    <w:rsid w:val="005F1E26"/>
    <w:rsid w:val="005F255B"/>
    <w:rsid w:val="005F3A4F"/>
    <w:rsid w:val="005F5423"/>
    <w:rsid w:val="005F704E"/>
    <w:rsid w:val="005F7834"/>
    <w:rsid w:val="00601C05"/>
    <w:rsid w:val="00601C53"/>
    <w:rsid w:val="00602643"/>
    <w:rsid w:val="00602CE7"/>
    <w:rsid w:val="00603E6B"/>
    <w:rsid w:val="00603FBA"/>
    <w:rsid w:val="00604BC3"/>
    <w:rsid w:val="00605C18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C9"/>
    <w:rsid w:val="0061359E"/>
    <w:rsid w:val="00613CB2"/>
    <w:rsid w:val="00613D62"/>
    <w:rsid w:val="00614200"/>
    <w:rsid w:val="00614AE8"/>
    <w:rsid w:val="00614B1B"/>
    <w:rsid w:val="00616A2B"/>
    <w:rsid w:val="00617379"/>
    <w:rsid w:val="00620939"/>
    <w:rsid w:val="00620D96"/>
    <w:rsid w:val="00620DCC"/>
    <w:rsid w:val="00620E49"/>
    <w:rsid w:val="00621DBE"/>
    <w:rsid w:val="006223D9"/>
    <w:rsid w:val="00622E1D"/>
    <w:rsid w:val="00622E89"/>
    <w:rsid w:val="00623DA1"/>
    <w:rsid w:val="00623E6D"/>
    <w:rsid w:val="006244EF"/>
    <w:rsid w:val="00625219"/>
    <w:rsid w:val="00625AE1"/>
    <w:rsid w:val="006278A0"/>
    <w:rsid w:val="006317F0"/>
    <w:rsid w:val="00632AA4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40967"/>
    <w:rsid w:val="00641580"/>
    <w:rsid w:val="00641AFE"/>
    <w:rsid w:val="0064221D"/>
    <w:rsid w:val="0064238B"/>
    <w:rsid w:val="00643B2E"/>
    <w:rsid w:val="00644C07"/>
    <w:rsid w:val="00644F21"/>
    <w:rsid w:val="00645B60"/>
    <w:rsid w:val="00646475"/>
    <w:rsid w:val="00647AD5"/>
    <w:rsid w:val="00647DDB"/>
    <w:rsid w:val="006506C5"/>
    <w:rsid w:val="00651479"/>
    <w:rsid w:val="00651E87"/>
    <w:rsid w:val="00652D02"/>
    <w:rsid w:val="00653064"/>
    <w:rsid w:val="006542A9"/>
    <w:rsid w:val="006547DA"/>
    <w:rsid w:val="00654EB0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781"/>
    <w:rsid w:val="00663EF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1348"/>
    <w:rsid w:val="00671418"/>
    <w:rsid w:val="0067209E"/>
    <w:rsid w:val="00672E7E"/>
    <w:rsid w:val="00673813"/>
    <w:rsid w:val="00673ADE"/>
    <w:rsid w:val="00673FC1"/>
    <w:rsid w:val="00674E25"/>
    <w:rsid w:val="00675F31"/>
    <w:rsid w:val="00676151"/>
    <w:rsid w:val="0067663D"/>
    <w:rsid w:val="00677155"/>
    <w:rsid w:val="00677385"/>
    <w:rsid w:val="0067766F"/>
    <w:rsid w:val="00680210"/>
    <w:rsid w:val="00680AFA"/>
    <w:rsid w:val="00680EC5"/>
    <w:rsid w:val="00681A0D"/>
    <w:rsid w:val="00681B4A"/>
    <w:rsid w:val="00681F8E"/>
    <w:rsid w:val="006820D1"/>
    <w:rsid w:val="006820F4"/>
    <w:rsid w:val="00683146"/>
    <w:rsid w:val="006839D3"/>
    <w:rsid w:val="0068400D"/>
    <w:rsid w:val="00684B26"/>
    <w:rsid w:val="00684BFC"/>
    <w:rsid w:val="006862C0"/>
    <w:rsid w:val="00686A90"/>
    <w:rsid w:val="00687FD9"/>
    <w:rsid w:val="00690142"/>
    <w:rsid w:val="006907E3"/>
    <w:rsid w:val="00690919"/>
    <w:rsid w:val="0069097F"/>
    <w:rsid w:val="006909C9"/>
    <w:rsid w:val="006921AD"/>
    <w:rsid w:val="006929B1"/>
    <w:rsid w:val="00692D3E"/>
    <w:rsid w:val="006938C8"/>
    <w:rsid w:val="006945D3"/>
    <w:rsid w:val="00694B6B"/>
    <w:rsid w:val="00696904"/>
    <w:rsid w:val="00696D86"/>
    <w:rsid w:val="006972DC"/>
    <w:rsid w:val="006975F0"/>
    <w:rsid w:val="00697719"/>
    <w:rsid w:val="00697776"/>
    <w:rsid w:val="006A07B9"/>
    <w:rsid w:val="006A140D"/>
    <w:rsid w:val="006A1515"/>
    <w:rsid w:val="006A173F"/>
    <w:rsid w:val="006A177F"/>
    <w:rsid w:val="006A27A6"/>
    <w:rsid w:val="006A2F17"/>
    <w:rsid w:val="006A3F43"/>
    <w:rsid w:val="006A423D"/>
    <w:rsid w:val="006A4710"/>
    <w:rsid w:val="006A56AA"/>
    <w:rsid w:val="006A6D02"/>
    <w:rsid w:val="006A6DA5"/>
    <w:rsid w:val="006A7723"/>
    <w:rsid w:val="006A7DAD"/>
    <w:rsid w:val="006B0A40"/>
    <w:rsid w:val="006B1F36"/>
    <w:rsid w:val="006B207F"/>
    <w:rsid w:val="006B2317"/>
    <w:rsid w:val="006B253A"/>
    <w:rsid w:val="006B5088"/>
    <w:rsid w:val="006B53AB"/>
    <w:rsid w:val="006B5510"/>
    <w:rsid w:val="006B6026"/>
    <w:rsid w:val="006B61B3"/>
    <w:rsid w:val="006B6FC4"/>
    <w:rsid w:val="006B71C8"/>
    <w:rsid w:val="006B75B0"/>
    <w:rsid w:val="006C2A5B"/>
    <w:rsid w:val="006C3B84"/>
    <w:rsid w:val="006C5264"/>
    <w:rsid w:val="006C5A63"/>
    <w:rsid w:val="006C5E63"/>
    <w:rsid w:val="006C5F8B"/>
    <w:rsid w:val="006C6229"/>
    <w:rsid w:val="006C62C7"/>
    <w:rsid w:val="006C776C"/>
    <w:rsid w:val="006D0743"/>
    <w:rsid w:val="006D09C0"/>
    <w:rsid w:val="006D09D7"/>
    <w:rsid w:val="006D0FA8"/>
    <w:rsid w:val="006D11A1"/>
    <w:rsid w:val="006D168D"/>
    <w:rsid w:val="006D18CE"/>
    <w:rsid w:val="006D3FE6"/>
    <w:rsid w:val="006D540C"/>
    <w:rsid w:val="006D57A1"/>
    <w:rsid w:val="006D681B"/>
    <w:rsid w:val="006D6AB4"/>
    <w:rsid w:val="006D6AC4"/>
    <w:rsid w:val="006D76F0"/>
    <w:rsid w:val="006D7B79"/>
    <w:rsid w:val="006D7B8B"/>
    <w:rsid w:val="006E046D"/>
    <w:rsid w:val="006E051F"/>
    <w:rsid w:val="006E0CE2"/>
    <w:rsid w:val="006E0E36"/>
    <w:rsid w:val="006E1A9C"/>
    <w:rsid w:val="006E208A"/>
    <w:rsid w:val="006E21EA"/>
    <w:rsid w:val="006E396C"/>
    <w:rsid w:val="006E42B1"/>
    <w:rsid w:val="006E4FEA"/>
    <w:rsid w:val="006E5205"/>
    <w:rsid w:val="006E5AA2"/>
    <w:rsid w:val="006E6B48"/>
    <w:rsid w:val="006E70D5"/>
    <w:rsid w:val="006E7BBB"/>
    <w:rsid w:val="006F00C8"/>
    <w:rsid w:val="006F0C24"/>
    <w:rsid w:val="006F1B1C"/>
    <w:rsid w:val="006F1B74"/>
    <w:rsid w:val="006F286B"/>
    <w:rsid w:val="006F3398"/>
    <w:rsid w:val="006F3845"/>
    <w:rsid w:val="006F387E"/>
    <w:rsid w:val="006F3BFC"/>
    <w:rsid w:val="006F3EED"/>
    <w:rsid w:val="006F454A"/>
    <w:rsid w:val="006F4AA3"/>
    <w:rsid w:val="006F5A5C"/>
    <w:rsid w:val="006F68C6"/>
    <w:rsid w:val="00700C90"/>
    <w:rsid w:val="007015A3"/>
    <w:rsid w:val="007022C6"/>
    <w:rsid w:val="007037CA"/>
    <w:rsid w:val="00703B08"/>
    <w:rsid w:val="00703ED8"/>
    <w:rsid w:val="00704426"/>
    <w:rsid w:val="007051B1"/>
    <w:rsid w:val="00705E36"/>
    <w:rsid w:val="00706137"/>
    <w:rsid w:val="00706359"/>
    <w:rsid w:val="00706371"/>
    <w:rsid w:val="0070671A"/>
    <w:rsid w:val="00706FD8"/>
    <w:rsid w:val="007077A6"/>
    <w:rsid w:val="00710087"/>
    <w:rsid w:val="00710364"/>
    <w:rsid w:val="00710F72"/>
    <w:rsid w:val="00711A78"/>
    <w:rsid w:val="00712A38"/>
    <w:rsid w:val="007134BC"/>
    <w:rsid w:val="00713A5D"/>
    <w:rsid w:val="00713D72"/>
    <w:rsid w:val="00714233"/>
    <w:rsid w:val="00714D3B"/>
    <w:rsid w:val="007159EA"/>
    <w:rsid w:val="00715AC8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2820"/>
    <w:rsid w:val="007237F8"/>
    <w:rsid w:val="00723BC5"/>
    <w:rsid w:val="0072436F"/>
    <w:rsid w:val="00724E12"/>
    <w:rsid w:val="0072691C"/>
    <w:rsid w:val="00726D32"/>
    <w:rsid w:val="00726E11"/>
    <w:rsid w:val="00727129"/>
    <w:rsid w:val="00730302"/>
    <w:rsid w:val="00732E5D"/>
    <w:rsid w:val="007348AB"/>
    <w:rsid w:val="007349C4"/>
    <w:rsid w:val="00735F80"/>
    <w:rsid w:val="00736043"/>
    <w:rsid w:val="007360AE"/>
    <w:rsid w:val="00737F62"/>
    <w:rsid w:val="00740760"/>
    <w:rsid w:val="00741983"/>
    <w:rsid w:val="00741BF6"/>
    <w:rsid w:val="007424BC"/>
    <w:rsid w:val="00742628"/>
    <w:rsid w:val="007428AE"/>
    <w:rsid w:val="007441BC"/>
    <w:rsid w:val="007449FA"/>
    <w:rsid w:val="00745F18"/>
    <w:rsid w:val="00746772"/>
    <w:rsid w:val="00746A0C"/>
    <w:rsid w:val="00752336"/>
    <w:rsid w:val="007524DC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982"/>
    <w:rsid w:val="0075762D"/>
    <w:rsid w:val="007576F8"/>
    <w:rsid w:val="007619E2"/>
    <w:rsid w:val="00761CC0"/>
    <w:rsid w:val="00761EF0"/>
    <w:rsid w:val="00763731"/>
    <w:rsid w:val="00763B49"/>
    <w:rsid w:val="00763C99"/>
    <w:rsid w:val="0076403C"/>
    <w:rsid w:val="007667D1"/>
    <w:rsid w:val="0076710B"/>
    <w:rsid w:val="00767490"/>
    <w:rsid w:val="007678F0"/>
    <w:rsid w:val="0077035A"/>
    <w:rsid w:val="00770749"/>
    <w:rsid w:val="00772404"/>
    <w:rsid w:val="007729FC"/>
    <w:rsid w:val="007739C2"/>
    <w:rsid w:val="007739FE"/>
    <w:rsid w:val="007744FA"/>
    <w:rsid w:val="00774B76"/>
    <w:rsid w:val="00774EC6"/>
    <w:rsid w:val="00775A61"/>
    <w:rsid w:val="00775A66"/>
    <w:rsid w:val="00775E11"/>
    <w:rsid w:val="007762EB"/>
    <w:rsid w:val="00777853"/>
    <w:rsid w:val="00781F6E"/>
    <w:rsid w:val="00781FFA"/>
    <w:rsid w:val="0078209A"/>
    <w:rsid w:val="00782D8B"/>
    <w:rsid w:val="00782DDE"/>
    <w:rsid w:val="00782FA5"/>
    <w:rsid w:val="007831A0"/>
    <w:rsid w:val="00783D22"/>
    <w:rsid w:val="0078534E"/>
    <w:rsid w:val="007864ED"/>
    <w:rsid w:val="00787335"/>
    <w:rsid w:val="0078778C"/>
    <w:rsid w:val="00787F04"/>
    <w:rsid w:val="007904CF"/>
    <w:rsid w:val="00790C63"/>
    <w:rsid w:val="00791696"/>
    <w:rsid w:val="0079191A"/>
    <w:rsid w:val="00792134"/>
    <w:rsid w:val="00792580"/>
    <w:rsid w:val="0079278B"/>
    <w:rsid w:val="00792D5D"/>
    <w:rsid w:val="007930F0"/>
    <w:rsid w:val="007935B2"/>
    <w:rsid w:val="00793B54"/>
    <w:rsid w:val="00794120"/>
    <w:rsid w:val="00794C47"/>
    <w:rsid w:val="00794C97"/>
    <w:rsid w:val="00795156"/>
    <w:rsid w:val="00797426"/>
    <w:rsid w:val="007A026B"/>
    <w:rsid w:val="007A0ECB"/>
    <w:rsid w:val="007A1811"/>
    <w:rsid w:val="007A1DF2"/>
    <w:rsid w:val="007A21A4"/>
    <w:rsid w:val="007A574F"/>
    <w:rsid w:val="007A5F4C"/>
    <w:rsid w:val="007A712C"/>
    <w:rsid w:val="007A7A89"/>
    <w:rsid w:val="007B090B"/>
    <w:rsid w:val="007B0E37"/>
    <w:rsid w:val="007B280A"/>
    <w:rsid w:val="007B2991"/>
    <w:rsid w:val="007B3B74"/>
    <w:rsid w:val="007B41AB"/>
    <w:rsid w:val="007B4242"/>
    <w:rsid w:val="007B4DCB"/>
    <w:rsid w:val="007B4F7A"/>
    <w:rsid w:val="007B6035"/>
    <w:rsid w:val="007B69BB"/>
    <w:rsid w:val="007B7172"/>
    <w:rsid w:val="007C07C2"/>
    <w:rsid w:val="007C179D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AB7"/>
    <w:rsid w:val="007C6EA6"/>
    <w:rsid w:val="007C6F69"/>
    <w:rsid w:val="007C7698"/>
    <w:rsid w:val="007C7D3D"/>
    <w:rsid w:val="007C7F2D"/>
    <w:rsid w:val="007C7F53"/>
    <w:rsid w:val="007D01C9"/>
    <w:rsid w:val="007D0E15"/>
    <w:rsid w:val="007D2441"/>
    <w:rsid w:val="007D2924"/>
    <w:rsid w:val="007D4AA1"/>
    <w:rsid w:val="007D500C"/>
    <w:rsid w:val="007D59FF"/>
    <w:rsid w:val="007D5B40"/>
    <w:rsid w:val="007D6328"/>
    <w:rsid w:val="007D66AF"/>
    <w:rsid w:val="007E12EE"/>
    <w:rsid w:val="007E15A4"/>
    <w:rsid w:val="007E1F08"/>
    <w:rsid w:val="007E22A6"/>
    <w:rsid w:val="007E23BA"/>
    <w:rsid w:val="007E24B9"/>
    <w:rsid w:val="007E2652"/>
    <w:rsid w:val="007E2B54"/>
    <w:rsid w:val="007E33BC"/>
    <w:rsid w:val="007E4199"/>
    <w:rsid w:val="007E41CE"/>
    <w:rsid w:val="007E55B5"/>
    <w:rsid w:val="007E5C58"/>
    <w:rsid w:val="007E63EA"/>
    <w:rsid w:val="007E7192"/>
    <w:rsid w:val="007E7EAF"/>
    <w:rsid w:val="007F06FA"/>
    <w:rsid w:val="007F0BEC"/>
    <w:rsid w:val="007F0DBC"/>
    <w:rsid w:val="007F2493"/>
    <w:rsid w:val="007F256A"/>
    <w:rsid w:val="007F3F5D"/>
    <w:rsid w:val="007F402E"/>
    <w:rsid w:val="007F4B63"/>
    <w:rsid w:val="007F4EBE"/>
    <w:rsid w:val="007F5238"/>
    <w:rsid w:val="007F5FD8"/>
    <w:rsid w:val="007F6264"/>
    <w:rsid w:val="007F6274"/>
    <w:rsid w:val="007F6924"/>
    <w:rsid w:val="008005AC"/>
    <w:rsid w:val="008007F7"/>
    <w:rsid w:val="00801D9B"/>
    <w:rsid w:val="008029CC"/>
    <w:rsid w:val="00802CFB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FE4"/>
    <w:rsid w:val="00812955"/>
    <w:rsid w:val="00813640"/>
    <w:rsid w:val="00813F24"/>
    <w:rsid w:val="00814036"/>
    <w:rsid w:val="0081551C"/>
    <w:rsid w:val="008167B0"/>
    <w:rsid w:val="0081706C"/>
    <w:rsid w:val="008177CF"/>
    <w:rsid w:val="00817D5D"/>
    <w:rsid w:val="0082049C"/>
    <w:rsid w:val="0082202B"/>
    <w:rsid w:val="00822040"/>
    <w:rsid w:val="0082305E"/>
    <w:rsid w:val="0082348F"/>
    <w:rsid w:val="0082389E"/>
    <w:rsid w:val="00823D3A"/>
    <w:rsid w:val="008250E9"/>
    <w:rsid w:val="00825661"/>
    <w:rsid w:val="00825F81"/>
    <w:rsid w:val="00827101"/>
    <w:rsid w:val="00827541"/>
    <w:rsid w:val="00827B6C"/>
    <w:rsid w:val="00827F6D"/>
    <w:rsid w:val="0083014C"/>
    <w:rsid w:val="00830177"/>
    <w:rsid w:val="00830C82"/>
    <w:rsid w:val="00831142"/>
    <w:rsid w:val="00834660"/>
    <w:rsid w:val="00834EF1"/>
    <w:rsid w:val="008353A3"/>
    <w:rsid w:val="00835476"/>
    <w:rsid w:val="008354F7"/>
    <w:rsid w:val="00835CAA"/>
    <w:rsid w:val="00836480"/>
    <w:rsid w:val="00836A86"/>
    <w:rsid w:val="008372C8"/>
    <w:rsid w:val="0083756E"/>
    <w:rsid w:val="00843511"/>
    <w:rsid w:val="00843A62"/>
    <w:rsid w:val="00843DF4"/>
    <w:rsid w:val="00843E00"/>
    <w:rsid w:val="00844850"/>
    <w:rsid w:val="008450CC"/>
    <w:rsid w:val="00847F74"/>
    <w:rsid w:val="00850B9B"/>
    <w:rsid w:val="008511A0"/>
    <w:rsid w:val="008511AE"/>
    <w:rsid w:val="008511EB"/>
    <w:rsid w:val="00851C53"/>
    <w:rsid w:val="008534FF"/>
    <w:rsid w:val="008538E1"/>
    <w:rsid w:val="0085570C"/>
    <w:rsid w:val="00855C17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A95"/>
    <w:rsid w:val="00862A9F"/>
    <w:rsid w:val="0086334C"/>
    <w:rsid w:val="00864206"/>
    <w:rsid w:val="00864AB6"/>
    <w:rsid w:val="00864F1F"/>
    <w:rsid w:val="0086666F"/>
    <w:rsid w:val="00866ED1"/>
    <w:rsid w:val="008679FA"/>
    <w:rsid w:val="00871CB7"/>
    <w:rsid w:val="00872039"/>
    <w:rsid w:val="00872261"/>
    <w:rsid w:val="00873C1D"/>
    <w:rsid w:val="00873DBD"/>
    <w:rsid w:val="008756B9"/>
    <w:rsid w:val="00876D60"/>
    <w:rsid w:val="00876F22"/>
    <w:rsid w:val="00877230"/>
    <w:rsid w:val="008800CE"/>
    <w:rsid w:val="008803D6"/>
    <w:rsid w:val="008806EE"/>
    <w:rsid w:val="00880861"/>
    <w:rsid w:val="00880C4D"/>
    <w:rsid w:val="008810B6"/>
    <w:rsid w:val="008818F2"/>
    <w:rsid w:val="00881E82"/>
    <w:rsid w:val="00882CE8"/>
    <w:rsid w:val="0088333D"/>
    <w:rsid w:val="00883B7F"/>
    <w:rsid w:val="00884F45"/>
    <w:rsid w:val="008853D1"/>
    <w:rsid w:val="008854DB"/>
    <w:rsid w:val="00886200"/>
    <w:rsid w:val="008865CE"/>
    <w:rsid w:val="00886635"/>
    <w:rsid w:val="008872D5"/>
    <w:rsid w:val="00887CF0"/>
    <w:rsid w:val="00887EB9"/>
    <w:rsid w:val="00890AD9"/>
    <w:rsid w:val="00891723"/>
    <w:rsid w:val="008917C4"/>
    <w:rsid w:val="00891912"/>
    <w:rsid w:val="008919DC"/>
    <w:rsid w:val="00891FF3"/>
    <w:rsid w:val="0089222A"/>
    <w:rsid w:val="008923A4"/>
    <w:rsid w:val="0089741F"/>
    <w:rsid w:val="00897B16"/>
    <w:rsid w:val="008A076A"/>
    <w:rsid w:val="008A1C1D"/>
    <w:rsid w:val="008A1C47"/>
    <w:rsid w:val="008A1CF8"/>
    <w:rsid w:val="008A1E6B"/>
    <w:rsid w:val="008A1FA6"/>
    <w:rsid w:val="008A21AD"/>
    <w:rsid w:val="008A24E1"/>
    <w:rsid w:val="008A2CED"/>
    <w:rsid w:val="008A2E0B"/>
    <w:rsid w:val="008A2EDC"/>
    <w:rsid w:val="008A3CC8"/>
    <w:rsid w:val="008A52C9"/>
    <w:rsid w:val="008A5CAB"/>
    <w:rsid w:val="008A675E"/>
    <w:rsid w:val="008A6CD2"/>
    <w:rsid w:val="008A7121"/>
    <w:rsid w:val="008B002B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3096"/>
    <w:rsid w:val="008C36C8"/>
    <w:rsid w:val="008C47DE"/>
    <w:rsid w:val="008C56A6"/>
    <w:rsid w:val="008C5D9D"/>
    <w:rsid w:val="008C5EBC"/>
    <w:rsid w:val="008C70E9"/>
    <w:rsid w:val="008C712D"/>
    <w:rsid w:val="008C7B40"/>
    <w:rsid w:val="008D14B7"/>
    <w:rsid w:val="008D18B0"/>
    <w:rsid w:val="008D1F94"/>
    <w:rsid w:val="008D1FEB"/>
    <w:rsid w:val="008D272D"/>
    <w:rsid w:val="008D273B"/>
    <w:rsid w:val="008D2DE5"/>
    <w:rsid w:val="008D32A3"/>
    <w:rsid w:val="008D3A30"/>
    <w:rsid w:val="008D4837"/>
    <w:rsid w:val="008D4C23"/>
    <w:rsid w:val="008D536A"/>
    <w:rsid w:val="008D572D"/>
    <w:rsid w:val="008D5A40"/>
    <w:rsid w:val="008D5BE1"/>
    <w:rsid w:val="008D6616"/>
    <w:rsid w:val="008D7398"/>
    <w:rsid w:val="008D79CD"/>
    <w:rsid w:val="008E026A"/>
    <w:rsid w:val="008E1CBA"/>
    <w:rsid w:val="008E1CFD"/>
    <w:rsid w:val="008E2949"/>
    <w:rsid w:val="008E4890"/>
    <w:rsid w:val="008E582D"/>
    <w:rsid w:val="008E5DBC"/>
    <w:rsid w:val="008E6D19"/>
    <w:rsid w:val="008E6D77"/>
    <w:rsid w:val="008E7917"/>
    <w:rsid w:val="008E7B0E"/>
    <w:rsid w:val="008F16C7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8E"/>
    <w:rsid w:val="008F577F"/>
    <w:rsid w:val="008F5FD0"/>
    <w:rsid w:val="008F637A"/>
    <w:rsid w:val="008F644A"/>
    <w:rsid w:val="008F75FA"/>
    <w:rsid w:val="008F7757"/>
    <w:rsid w:val="008F7DFA"/>
    <w:rsid w:val="00900697"/>
    <w:rsid w:val="00901125"/>
    <w:rsid w:val="00901172"/>
    <w:rsid w:val="00902D38"/>
    <w:rsid w:val="00903EA0"/>
    <w:rsid w:val="00905896"/>
    <w:rsid w:val="00905999"/>
    <w:rsid w:val="00906CDD"/>
    <w:rsid w:val="009070C0"/>
    <w:rsid w:val="0090795D"/>
    <w:rsid w:val="009101AD"/>
    <w:rsid w:val="009104C0"/>
    <w:rsid w:val="00910BCF"/>
    <w:rsid w:val="009113C0"/>
    <w:rsid w:val="00911A54"/>
    <w:rsid w:val="00911F8B"/>
    <w:rsid w:val="0091250E"/>
    <w:rsid w:val="00912C28"/>
    <w:rsid w:val="00913D92"/>
    <w:rsid w:val="00914992"/>
    <w:rsid w:val="00914B83"/>
    <w:rsid w:val="0091599D"/>
    <w:rsid w:val="00916057"/>
    <w:rsid w:val="009178A6"/>
    <w:rsid w:val="00921439"/>
    <w:rsid w:val="009215E3"/>
    <w:rsid w:val="009215F5"/>
    <w:rsid w:val="00922071"/>
    <w:rsid w:val="00923893"/>
    <w:rsid w:val="00923AF3"/>
    <w:rsid w:val="00925431"/>
    <w:rsid w:val="00927464"/>
    <w:rsid w:val="00927887"/>
    <w:rsid w:val="009278B7"/>
    <w:rsid w:val="009301E9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9B"/>
    <w:rsid w:val="009331D1"/>
    <w:rsid w:val="00933FDE"/>
    <w:rsid w:val="00934A26"/>
    <w:rsid w:val="009377E2"/>
    <w:rsid w:val="00941540"/>
    <w:rsid w:val="009420AE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6642"/>
    <w:rsid w:val="00946FFA"/>
    <w:rsid w:val="00947CA0"/>
    <w:rsid w:val="00951828"/>
    <w:rsid w:val="00952B83"/>
    <w:rsid w:val="00954E2A"/>
    <w:rsid w:val="00954EE7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EFD"/>
    <w:rsid w:val="0096429C"/>
    <w:rsid w:val="00966C79"/>
    <w:rsid w:val="00967034"/>
    <w:rsid w:val="009677E4"/>
    <w:rsid w:val="00967EB8"/>
    <w:rsid w:val="009715E6"/>
    <w:rsid w:val="00971CB1"/>
    <w:rsid w:val="00972169"/>
    <w:rsid w:val="00972F47"/>
    <w:rsid w:val="00973971"/>
    <w:rsid w:val="00973A16"/>
    <w:rsid w:val="0097479B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CBF"/>
    <w:rsid w:val="00981013"/>
    <w:rsid w:val="00981527"/>
    <w:rsid w:val="00981569"/>
    <w:rsid w:val="0098167C"/>
    <w:rsid w:val="009819E5"/>
    <w:rsid w:val="00981E8C"/>
    <w:rsid w:val="00982059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90AA8"/>
    <w:rsid w:val="00991B3F"/>
    <w:rsid w:val="00991D28"/>
    <w:rsid w:val="009924AA"/>
    <w:rsid w:val="009949E3"/>
    <w:rsid w:val="00994F9A"/>
    <w:rsid w:val="0099529B"/>
    <w:rsid w:val="0099550D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2CFA"/>
    <w:rsid w:val="009A2D62"/>
    <w:rsid w:val="009A4CC7"/>
    <w:rsid w:val="009A5A08"/>
    <w:rsid w:val="009A5BE4"/>
    <w:rsid w:val="009A5D1F"/>
    <w:rsid w:val="009A68F0"/>
    <w:rsid w:val="009A7071"/>
    <w:rsid w:val="009A729F"/>
    <w:rsid w:val="009A7E31"/>
    <w:rsid w:val="009B077B"/>
    <w:rsid w:val="009B0B20"/>
    <w:rsid w:val="009B1B40"/>
    <w:rsid w:val="009B27C6"/>
    <w:rsid w:val="009B2D51"/>
    <w:rsid w:val="009B2E1C"/>
    <w:rsid w:val="009B30BB"/>
    <w:rsid w:val="009B37F4"/>
    <w:rsid w:val="009B4162"/>
    <w:rsid w:val="009B5429"/>
    <w:rsid w:val="009B5436"/>
    <w:rsid w:val="009B5EAC"/>
    <w:rsid w:val="009B5F06"/>
    <w:rsid w:val="009B6980"/>
    <w:rsid w:val="009C25F9"/>
    <w:rsid w:val="009C31CE"/>
    <w:rsid w:val="009C34BA"/>
    <w:rsid w:val="009C3BD5"/>
    <w:rsid w:val="009C3D4F"/>
    <w:rsid w:val="009C495C"/>
    <w:rsid w:val="009C5276"/>
    <w:rsid w:val="009C6562"/>
    <w:rsid w:val="009C7559"/>
    <w:rsid w:val="009C7612"/>
    <w:rsid w:val="009C7F4F"/>
    <w:rsid w:val="009D0E9C"/>
    <w:rsid w:val="009D1627"/>
    <w:rsid w:val="009D1FCD"/>
    <w:rsid w:val="009D2334"/>
    <w:rsid w:val="009D25CC"/>
    <w:rsid w:val="009D433A"/>
    <w:rsid w:val="009D43AF"/>
    <w:rsid w:val="009D45DE"/>
    <w:rsid w:val="009D46E5"/>
    <w:rsid w:val="009D55A3"/>
    <w:rsid w:val="009D60A1"/>
    <w:rsid w:val="009D6414"/>
    <w:rsid w:val="009D68E0"/>
    <w:rsid w:val="009D6F0E"/>
    <w:rsid w:val="009D70E4"/>
    <w:rsid w:val="009D7240"/>
    <w:rsid w:val="009D7898"/>
    <w:rsid w:val="009D7C45"/>
    <w:rsid w:val="009E08B7"/>
    <w:rsid w:val="009E2415"/>
    <w:rsid w:val="009E2730"/>
    <w:rsid w:val="009E2B1E"/>
    <w:rsid w:val="009E2B54"/>
    <w:rsid w:val="009E35F6"/>
    <w:rsid w:val="009E439D"/>
    <w:rsid w:val="009E589C"/>
    <w:rsid w:val="009E59F5"/>
    <w:rsid w:val="009E5B63"/>
    <w:rsid w:val="009E737E"/>
    <w:rsid w:val="009E77D4"/>
    <w:rsid w:val="009F03A1"/>
    <w:rsid w:val="009F07C9"/>
    <w:rsid w:val="009F15F6"/>
    <w:rsid w:val="009F19B3"/>
    <w:rsid w:val="009F3842"/>
    <w:rsid w:val="009F3BCD"/>
    <w:rsid w:val="009F48A3"/>
    <w:rsid w:val="009F4F06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5F1"/>
    <w:rsid w:val="00A02A77"/>
    <w:rsid w:val="00A02D77"/>
    <w:rsid w:val="00A03032"/>
    <w:rsid w:val="00A0334E"/>
    <w:rsid w:val="00A03D04"/>
    <w:rsid w:val="00A03E79"/>
    <w:rsid w:val="00A04535"/>
    <w:rsid w:val="00A054FB"/>
    <w:rsid w:val="00A05691"/>
    <w:rsid w:val="00A05CEA"/>
    <w:rsid w:val="00A05FA8"/>
    <w:rsid w:val="00A074A2"/>
    <w:rsid w:val="00A0767C"/>
    <w:rsid w:val="00A11213"/>
    <w:rsid w:val="00A11721"/>
    <w:rsid w:val="00A1239B"/>
    <w:rsid w:val="00A127C1"/>
    <w:rsid w:val="00A1437D"/>
    <w:rsid w:val="00A14DED"/>
    <w:rsid w:val="00A16566"/>
    <w:rsid w:val="00A177EC"/>
    <w:rsid w:val="00A20550"/>
    <w:rsid w:val="00A22AE9"/>
    <w:rsid w:val="00A22D6D"/>
    <w:rsid w:val="00A22ED6"/>
    <w:rsid w:val="00A231CA"/>
    <w:rsid w:val="00A23448"/>
    <w:rsid w:val="00A23744"/>
    <w:rsid w:val="00A25C79"/>
    <w:rsid w:val="00A26384"/>
    <w:rsid w:val="00A27C2B"/>
    <w:rsid w:val="00A309DA"/>
    <w:rsid w:val="00A30AF7"/>
    <w:rsid w:val="00A311DB"/>
    <w:rsid w:val="00A3359C"/>
    <w:rsid w:val="00A3372A"/>
    <w:rsid w:val="00A33A60"/>
    <w:rsid w:val="00A33E2B"/>
    <w:rsid w:val="00A346F7"/>
    <w:rsid w:val="00A34815"/>
    <w:rsid w:val="00A34A81"/>
    <w:rsid w:val="00A34EEF"/>
    <w:rsid w:val="00A35225"/>
    <w:rsid w:val="00A355B9"/>
    <w:rsid w:val="00A36BE6"/>
    <w:rsid w:val="00A36C8E"/>
    <w:rsid w:val="00A36EFD"/>
    <w:rsid w:val="00A3748D"/>
    <w:rsid w:val="00A401FC"/>
    <w:rsid w:val="00A403BF"/>
    <w:rsid w:val="00A40580"/>
    <w:rsid w:val="00A40C8E"/>
    <w:rsid w:val="00A41638"/>
    <w:rsid w:val="00A4193E"/>
    <w:rsid w:val="00A42381"/>
    <w:rsid w:val="00A427A9"/>
    <w:rsid w:val="00A42FD4"/>
    <w:rsid w:val="00A43B4C"/>
    <w:rsid w:val="00A43FD2"/>
    <w:rsid w:val="00A440C2"/>
    <w:rsid w:val="00A445E4"/>
    <w:rsid w:val="00A451E5"/>
    <w:rsid w:val="00A45954"/>
    <w:rsid w:val="00A46764"/>
    <w:rsid w:val="00A47942"/>
    <w:rsid w:val="00A50054"/>
    <w:rsid w:val="00A505C3"/>
    <w:rsid w:val="00A509E9"/>
    <w:rsid w:val="00A51281"/>
    <w:rsid w:val="00A523C2"/>
    <w:rsid w:val="00A52CDA"/>
    <w:rsid w:val="00A53119"/>
    <w:rsid w:val="00A53506"/>
    <w:rsid w:val="00A5388E"/>
    <w:rsid w:val="00A5482E"/>
    <w:rsid w:val="00A54D17"/>
    <w:rsid w:val="00A55D81"/>
    <w:rsid w:val="00A568DA"/>
    <w:rsid w:val="00A60052"/>
    <w:rsid w:val="00A6021A"/>
    <w:rsid w:val="00A609F4"/>
    <w:rsid w:val="00A61AC0"/>
    <w:rsid w:val="00A6272D"/>
    <w:rsid w:val="00A631D0"/>
    <w:rsid w:val="00A642D8"/>
    <w:rsid w:val="00A6467A"/>
    <w:rsid w:val="00A65525"/>
    <w:rsid w:val="00A657D4"/>
    <w:rsid w:val="00A65A2B"/>
    <w:rsid w:val="00A65F59"/>
    <w:rsid w:val="00A67AB7"/>
    <w:rsid w:val="00A67C48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508B"/>
    <w:rsid w:val="00A7562C"/>
    <w:rsid w:val="00A75ABA"/>
    <w:rsid w:val="00A75CAD"/>
    <w:rsid w:val="00A7645F"/>
    <w:rsid w:val="00A8026D"/>
    <w:rsid w:val="00A80A93"/>
    <w:rsid w:val="00A81D9A"/>
    <w:rsid w:val="00A81F0D"/>
    <w:rsid w:val="00A820BA"/>
    <w:rsid w:val="00A82F80"/>
    <w:rsid w:val="00A831EC"/>
    <w:rsid w:val="00A84C14"/>
    <w:rsid w:val="00A86226"/>
    <w:rsid w:val="00A87175"/>
    <w:rsid w:val="00A90CA0"/>
    <w:rsid w:val="00A90E5C"/>
    <w:rsid w:val="00A9100E"/>
    <w:rsid w:val="00A912F2"/>
    <w:rsid w:val="00A91C68"/>
    <w:rsid w:val="00A920B7"/>
    <w:rsid w:val="00A92F09"/>
    <w:rsid w:val="00A9431B"/>
    <w:rsid w:val="00A94F14"/>
    <w:rsid w:val="00A952C6"/>
    <w:rsid w:val="00A95781"/>
    <w:rsid w:val="00A95B89"/>
    <w:rsid w:val="00A960E0"/>
    <w:rsid w:val="00A9619D"/>
    <w:rsid w:val="00A96238"/>
    <w:rsid w:val="00A9669A"/>
    <w:rsid w:val="00A971BC"/>
    <w:rsid w:val="00A978FE"/>
    <w:rsid w:val="00AA02DA"/>
    <w:rsid w:val="00AA0E9E"/>
    <w:rsid w:val="00AA1813"/>
    <w:rsid w:val="00AA1FC1"/>
    <w:rsid w:val="00AA1FE9"/>
    <w:rsid w:val="00AA210D"/>
    <w:rsid w:val="00AA30C1"/>
    <w:rsid w:val="00AA3824"/>
    <w:rsid w:val="00AA4235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1699"/>
    <w:rsid w:val="00AB18F9"/>
    <w:rsid w:val="00AB221F"/>
    <w:rsid w:val="00AB2286"/>
    <w:rsid w:val="00AB2476"/>
    <w:rsid w:val="00AB3286"/>
    <w:rsid w:val="00AB3A79"/>
    <w:rsid w:val="00AB4B22"/>
    <w:rsid w:val="00AB564F"/>
    <w:rsid w:val="00AB5F56"/>
    <w:rsid w:val="00AB65FA"/>
    <w:rsid w:val="00AB65FD"/>
    <w:rsid w:val="00AB664A"/>
    <w:rsid w:val="00AB68AC"/>
    <w:rsid w:val="00AB7327"/>
    <w:rsid w:val="00AB760A"/>
    <w:rsid w:val="00AC12E0"/>
    <w:rsid w:val="00AC1708"/>
    <w:rsid w:val="00AC2589"/>
    <w:rsid w:val="00AC3813"/>
    <w:rsid w:val="00AC45FA"/>
    <w:rsid w:val="00AC4A24"/>
    <w:rsid w:val="00AC7D79"/>
    <w:rsid w:val="00AD0359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D29"/>
    <w:rsid w:val="00AD45EA"/>
    <w:rsid w:val="00AD51EE"/>
    <w:rsid w:val="00AD5AE3"/>
    <w:rsid w:val="00AD5D25"/>
    <w:rsid w:val="00AD60F5"/>
    <w:rsid w:val="00AD6948"/>
    <w:rsid w:val="00AD6C10"/>
    <w:rsid w:val="00AE04EA"/>
    <w:rsid w:val="00AE06CF"/>
    <w:rsid w:val="00AE0BE7"/>
    <w:rsid w:val="00AE1496"/>
    <w:rsid w:val="00AE1646"/>
    <w:rsid w:val="00AE29CA"/>
    <w:rsid w:val="00AE402C"/>
    <w:rsid w:val="00AE4679"/>
    <w:rsid w:val="00AE4F0E"/>
    <w:rsid w:val="00AE5BF2"/>
    <w:rsid w:val="00AE7041"/>
    <w:rsid w:val="00AE7205"/>
    <w:rsid w:val="00AE7376"/>
    <w:rsid w:val="00AE79C8"/>
    <w:rsid w:val="00AE7FBD"/>
    <w:rsid w:val="00AF1985"/>
    <w:rsid w:val="00AF203C"/>
    <w:rsid w:val="00AF2587"/>
    <w:rsid w:val="00AF31D1"/>
    <w:rsid w:val="00AF3F69"/>
    <w:rsid w:val="00AF57E5"/>
    <w:rsid w:val="00AF6333"/>
    <w:rsid w:val="00AF6F70"/>
    <w:rsid w:val="00AF7062"/>
    <w:rsid w:val="00AF718F"/>
    <w:rsid w:val="00B00BF1"/>
    <w:rsid w:val="00B017EA"/>
    <w:rsid w:val="00B0357C"/>
    <w:rsid w:val="00B0395A"/>
    <w:rsid w:val="00B03FE7"/>
    <w:rsid w:val="00B0540A"/>
    <w:rsid w:val="00B0564C"/>
    <w:rsid w:val="00B059FC"/>
    <w:rsid w:val="00B0689F"/>
    <w:rsid w:val="00B068E7"/>
    <w:rsid w:val="00B06A25"/>
    <w:rsid w:val="00B10BB9"/>
    <w:rsid w:val="00B10C1E"/>
    <w:rsid w:val="00B10D11"/>
    <w:rsid w:val="00B1192B"/>
    <w:rsid w:val="00B12207"/>
    <w:rsid w:val="00B12641"/>
    <w:rsid w:val="00B130CF"/>
    <w:rsid w:val="00B13B44"/>
    <w:rsid w:val="00B141CE"/>
    <w:rsid w:val="00B15A7E"/>
    <w:rsid w:val="00B15CCF"/>
    <w:rsid w:val="00B1650C"/>
    <w:rsid w:val="00B16C97"/>
    <w:rsid w:val="00B176CF"/>
    <w:rsid w:val="00B2044D"/>
    <w:rsid w:val="00B204D8"/>
    <w:rsid w:val="00B205C2"/>
    <w:rsid w:val="00B2180E"/>
    <w:rsid w:val="00B225B7"/>
    <w:rsid w:val="00B22C46"/>
    <w:rsid w:val="00B24D0A"/>
    <w:rsid w:val="00B25344"/>
    <w:rsid w:val="00B25982"/>
    <w:rsid w:val="00B26548"/>
    <w:rsid w:val="00B27F2E"/>
    <w:rsid w:val="00B30B33"/>
    <w:rsid w:val="00B3149A"/>
    <w:rsid w:val="00B319DF"/>
    <w:rsid w:val="00B34A9F"/>
    <w:rsid w:val="00B34FCE"/>
    <w:rsid w:val="00B35EDB"/>
    <w:rsid w:val="00B35F68"/>
    <w:rsid w:val="00B36C38"/>
    <w:rsid w:val="00B36EDA"/>
    <w:rsid w:val="00B37735"/>
    <w:rsid w:val="00B3775A"/>
    <w:rsid w:val="00B377F1"/>
    <w:rsid w:val="00B4034C"/>
    <w:rsid w:val="00B40AB0"/>
    <w:rsid w:val="00B42658"/>
    <w:rsid w:val="00B42762"/>
    <w:rsid w:val="00B432E7"/>
    <w:rsid w:val="00B43E8A"/>
    <w:rsid w:val="00B43EDC"/>
    <w:rsid w:val="00B4551F"/>
    <w:rsid w:val="00B46BA5"/>
    <w:rsid w:val="00B5071C"/>
    <w:rsid w:val="00B50DEB"/>
    <w:rsid w:val="00B510B3"/>
    <w:rsid w:val="00B51DFC"/>
    <w:rsid w:val="00B53ECC"/>
    <w:rsid w:val="00B540D6"/>
    <w:rsid w:val="00B54D40"/>
    <w:rsid w:val="00B54F42"/>
    <w:rsid w:val="00B5650D"/>
    <w:rsid w:val="00B5771B"/>
    <w:rsid w:val="00B57CB4"/>
    <w:rsid w:val="00B57CEB"/>
    <w:rsid w:val="00B6029E"/>
    <w:rsid w:val="00B60ADD"/>
    <w:rsid w:val="00B6110B"/>
    <w:rsid w:val="00B61636"/>
    <w:rsid w:val="00B62CC9"/>
    <w:rsid w:val="00B632F6"/>
    <w:rsid w:val="00B65D4E"/>
    <w:rsid w:val="00B65F58"/>
    <w:rsid w:val="00B66126"/>
    <w:rsid w:val="00B66CA9"/>
    <w:rsid w:val="00B6782E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B9C"/>
    <w:rsid w:val="00B74BAC"/>
    <w:rsid w:val="00B7547E"/>
    <w:rsid w:val="00B75C3C"/>
    <w:rsid w:val="00B771CB"/>
    <w:rsid w:val="00B77E0F"/>
    <w:rsid w:val="00B77FB9"/>
    <w:rsid w:val="00B81D08"/>
    <w:rsid w:val="00B83180"/>
    <w:rsid w:val="00B83611"/>
    <w:rsid w:val="00B83A6E"/>
    <w:rsid w:val="00B83D14"/>
    <w:rsid w:val="00B84932"/>
    <w:rsid w:val="00B851DA"/>
    <w:rsid w:val="00B85821"/>
    <w:rsid w:val="00B86D40"/>
    <w:rsid w:val="00B90EEC"/>
    <w:rsid w:val="00B91C83"/>
    <w:rsid w:val="00B91D9D"/>
    <w:rsid w:val="00B91E81"/>
    <w:rsid w:val="00B922C6"/>
    <w:rsid w:val="00B92EA0"/>
    <w:rsid w:val="00B932DD"/>
    <w:rsid w:val="00B93679"/>
    <w:rsid w:val="00B940A5"/>
    <w:rsid w:val="00B95576"/>
    <w:rsid w:val="00B95BC0"/>
    <w:rsid w:val="00B96572"/>
    <w:rsid w:val="00B9779C"/>
    <w:rsid w:val="00B97B3C"/>
    <w:rsid w:val="00BA01EA"/>
    <w:rsid w:val="00BA0836"/>
    <w:rsid w:val="00BA1687"/>
    <w:rsid w:val="00BA217A"/>
    <w:rsid w:val="00BA3355"/>
    <w:rsid w:val="00BA3735"/>
    <w:rsid w:val="00BA3871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353E"/>
    <w:rsid w:val="00BB4A25"/>
    <w:rsid w:val="00BB5410"/>
    <w:rsid w:val="00BB6541"/>
    <w:rsid w:val="00BB6C36"/>
    <w:rsid w:val="00BB745E"/>
    <w:rsid w:val="00BC20A4"/>
    <w:rsid w:val="00BC20DF"/>
    <w:rsid w:val="00BC28B5"/>
    <w:rsid w:val="00BC2BBC"/>
    <w:rsid w:val="00BC3AF6"/>
    <w:rsid w:val="00BC44FE"/>
    <w:rsid w:val="00BC53FF"/>
    <w:rsid w:val="00BC5482"/>
    <w:rsid w:val="00BC6323"/>
    <w:rsid w:val="00BC697A"/>
    <w:rsid w:val="00BC7252"/>
    <w:rsid w:val="00BC73CE"/>
    <w:rsid w:val="00BD46D6"/>
    <w:rsid w:val="00BD490E"/>
    <w:rsid w:val="00BD64D3"/>
    <w:rsid w:val="00BD699F"/>
    <w:rsid w:val="00BD7499"/>
    <w:rsid w:val="00BD7C45"/>
    <w:rsid w:val="00BE0DA6"/>
    <w:rsid w:val="00BE0E88"/>
    <w:rsid w:val="00BE154E"/>
    <w:rsid w:val="00BE2508"/>
    <w:rsid w:val="00BE313F"/>
    <w:rsid w:val="00BE32CA"/>
    <w:rsid w:val="00BE340D"/>
    <w:rsid w:val="00BE4125"/>
    <w:rsid w:val="00BE475D"/>
    <w:rsid w:val="00BE5144"/>
    <w:rsid w:val="00BE5E0E"/>
    <w:rsid w:val="00BE5E56"/>
    <w:rsid w:val="00BE753C"/>
    <w:rsid w:val="00BE7BB2"/>
    <w:rsid w:val="00BE7E54"/>
    <w:rsid w:val="00BF0ACF"/>
    <w:rsid w:val="00BF0F8F"/>
    <w:rsid w:val="00BF1217"/>
    <w:rsid w:val="00BF162F"/>
    <w:rsid w:val="00BF1C1F"/>
    <w:rsid w:val="00BF1DB3"/>
    <w:rsid w:val="00BF2D54"/>
    <w:rsid w:val="00BF2F09"/>
    <w:rsid w:val="00BF30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BB0"/>
    <w:rsid w:val="00C00B26"/>
    <w:rsid w:val="00C01202"/>
    <w:rsid w:val="00C012C8"/>
    <w:rsid w:val="00C012C9"/>
    <w:rsid w:val="00C024F6"/>
    <w:rsid w:val="00C0375F"/>
    <w:rsid w:val="00C04554"/>
    <w:rsid w:val="00C05478"/>
    <w:rsid w:val="00C0691B"/>
    <w:rsid w:val="00C07945"/>
    <w:rsid w:val="00C079E0"/>
    <w:rsid w:val="00C10259"/>
    <w:rsid w:val="00C10E4A"/>
    <w:rsid w:val="00C1140A"/>
    <w:rsid w:val="00C12BA8"/>
    <w:rsid w:val="00C132BC"/>
    <w:rsid w:val="00C15170"/>
    <w:rsid w:val="00C15942"/>
    <w:rsid w:val="00C15F39"/>
    <w:rsid w:val="00C1605F"/>
    <w:rsid w:val="00C16DED"/>
    <w:rsid w:val="00C17027"/>
    <w:rsid w:val="00C174F0"/>
    <w:rsid w:val="00C178F3"/>
    <w:rsid w:val="00C21349"/>
    <w:rsid w:val="00C216C3"/>
    <w:rsid w:val="00C21FF5"/>
    <w:rsid w:val="00C22294"/>
    <w:rsid w:val="00C23CBC"/>
    <w:rsid w:val="00C25ED4"/>
    <w:rsid w:val="00C2752B"/>
    <w:rsid w:val="00C27859"/>
    <w:rsid w:val="00C27B61"/>
    <w:rsid w:val="00C30093"/>
    <w:rsid w:val="00C3067D"/>
    <w:rsid w:val="00C3089F"/>
    <w:rsid w:val="00C30D04"/>
    <w:rsid w:val="00C31110"/>
    <w:rsid w:val="00C311E5"/>
    <w:rsid w:val="00C31DCA"/>
    <w:rsid w:val="00C32FCE"/>
    <w:rsid w:val="00C330E8"/>
    <w:rsid w:val="00C33874"/>
    <w:rsid w:val="00C33FB5"/>
    <w:rsid w:val="00C344AC"/>
    <w:rsid w:val="00C34C0B"/>
    <w:rsid w:val="00C35001"/>
    <w:rsid w:val="00C35ED4"/>
    <w:rsid w:val="00C3634E"/>
    <w:rsid w:val="00C36E8B"/>
    <w:rsid w:val="00C370EC"/>
    <w:rsid w:val="00C37854"/>
    <w:rsid w:val="00C37D84"/>
    <w:rsid w:val="00C40487"/>
    <w:rsid w:val="00C40D16"/>
    <w:rsid w:val="00C41ACC"/>
    <w:rsid w:val="00C41B8A"/>
    <w:rsid w:val="00C41EC0"/>
    <w:rsid w:val="00C427AE"/>
    <w:rsid w:val="00C4658C"/>
    <w:rsid w:val="00C47030"/>
    <w:rsid w:val="00C471A9"/>
    <w:rsid w:val="00C47589"/>
    <w:rsid w:val="00C47F96"/>
    <w:rsid w:val="00C500C0"/>
    <w:rsid w:val="00C508C7"/>
    <w:rsid w:val="00C50B69"/>
    <w:rsid w:val="00C52CA7"/>
    <w:rsid w:val="00C52FDD"/>
    <w:rsid w:val="00C53D84"/>
    <w:rsid w:val="00C540CC"/>
    <w:rsid w:val="00C54129"/>
    <w:rsid w:val="00C544E8"/>
    <w:rsid w:val="00C54BD0"/>
    <w:rsid w:val="00C568C1"/>
    <w:rsid w:val="00C56B13"/>
    <w:rsid w:val="00C56E61"/>
    <w:rsid w:val="00C56FFD"/>
    <w:rsid w:val="00C6155A"/>
    <w:rsid w:val="00C622BE"/>
    <w:rsid w:val="00C625B6"/>
    <w:rsid w:val="00C627BF"/>
    <w:rsid w:val="00C62ABE"/>
    <w:rsid w:val="00C62B2F"/>
    <w:rsid w:val="00C64A81"/>
    <w:rsid w:val="00C651BC"/>
    <w:rsid w:val="00C65632"/>
    <w:rsid w:val="00C662D5"/>
    <w:rsid w:val="00C66362"/>
    <w:rsid w:val="00C666AA"/>
    <w:rsid w:val="00C66BA2"/>
    <w:rsid w:val="00C66E64"/>
    <w:rsid w:val="00C67E97"/>
    <w:rsid w:val="00C70B3C"/>
    <w:rsid w:val="00C7249A"/>
    <w:rsid w:val="00C72A48"/>
    <w:rsid w:val="00C73034"/>
    <w:rsid w:val="00C740A1"/>
    <w:rsid w:val="00C74EC0"/>
    <w:rsid w:val="00C754BC"/>
    <w:rsid w:val="00C75FCF"/>
    <w:rsid w:val="00C760CE"/>
    <w:rsid w:val="00C760E7"/>
    <w:rsid w:val="00C76DC6"/>
    <w:rsid w:val="00C7707A"/>
    <w:rsid w:val="00C77284"/>
    <w:rsid w:val="00C77EC8"/>
    <w:rsid w:val="00C800B1"/>
    <w:rsid w:val="00C8088A"/>
    <w:rsid w:val="00C80F79"/>
    <w:rsid w:val="00C81196"/>
    <w:rsid w:val="00C822E8"/>
    <w:rsid w:val="00C829C8"/>
    <w:rsid w:val="00C82E18"/>
    <w:rsid w:val="00C84081"/>
    <w:rsid w:val="00C85295"/>
    <w:rsid w:val="00C856A4"/>
    <w:rsid w:val="00C85905"/>
    <w:rsid w:val="00C85ADB"/>
    <w:rsid w:val="00C86851"/>
    <w:rsid w:val="00C86CF8"/>
    <w:rsid w:val="00C87075"/>
    <w:rsid w:val="00C87F54"/>
    <w:rsid w:val="00C9148C"/>
    <w:rsid w:val="00C9200F"/>
    <w:rsid w:val="00C92655"/>
    <w:rsid w:val="00C92B30"/>
    <w:rsid w:val="00C92D91"/>
    <w:rsid w:val="00C92F05"/>
    <w:rsid w:val="00C937DA"/>
    <w:rsid w:val="00C93B90"/>
    <w:rsid w:val="00C944EA"/>
    <w:rsid w:val="00C946DB"/>
    <w:rsid w:val="00C9517D"/>
    <w:rsid w:val="00C95E21"/>
    <w:rsid w:val="00C96D81"/>
    <w:rsid w:val="00CA085C"/>
    <w:rsid w:val="00CA10CC"/>
    <w:rsid w:val="00CA12F6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272B"/>
    <w:rsid w:val="00CB2C06"/>
    <w:rsid w:val="00CB309E"/>
    <w:rsid w:val="00CB30EB"/>
    <w:rsid w:val="00CB3138"/>
    <w:rsid w:val="00CB42B6"/>
    <w:rsid w:val="00CB4809"/>
    <w:rsid w:val="00CB4A9D"/>
    <w:rsid w:val="00CB5528"/>
    <w:rsid w:val="00CB571C"/>
    <w:rsid w:val="00CB75BD"/>
    <w:rsid w:val="00CC0D45"/>
    <w:rsid w:val="00CC14B7"/>
    <w:rsid w:val="00CC2664"/>
    <w:rsid w:val="00CC33A2"/>
    <w:rsid w:val="00CC4132"/>
    <w:rsid w:val="00CC5596"/>
    <w:rsid w:val="00CD0529"/>
    <w:rsid w:val="00CD19FD"/>
    <w:rsid w:val="00CD1ECF"/>
    <w:rsid w:val="00CD35A8"/>
    <w:rsid w:val="00CD3B3F"/>
    <w:rsid w:val="00CD3F0A"/>
    <w:rsid w:val="00CD5E23"/>
    <w:rsid w:val="00CD68D8"/>
    <w:rsid w:val="00CD6C01"/>
    <w:rsid w:val="00CD73C9"/>
    <w:rsid w:val="00CE01AB"/>
    <w:rsid w:val="00CE08BE"/>
    <w:rsid w:val="00CE11E0"/>
    <w:rsid w:val="00CE2105"/>
    <w:rsid w:val="00CE27ED"/>
    <w:rsid w:val="00CE2A2C"/>
    <w:rsid w:val="00CE35D3"/>
    <w:rsid w:val="00CE38AE"/>
    <w:rsid w:val="00CE402F"/>
    <w:rsid w:val="00CE48EC"/>
    <w:rsid w:val="00CE4908"/>
    <w:rsid w:val="00CE5C68"/>
    <w:rsid w:val="00CE618E"/>
    <w:rsid w:val="00CE6563"/>
    <w:rsid w:val="00CE68A3"/>
    <w:rsid w:val="00CE750A"/>
    <w:rsid w:val="00CF0C29"/>
    <w:rsid w:val="00CF2347"/>
    <w:rsid w:val="00CF37BE"/>
    <w:rsid w:val="00CF3818"/>
    <w:rsid w:val="00CF38F1"/>
    <w:rsid w:val="00CF48A1"/>
    <w:rsid w:val="00CF4978"/>
    <w:rsid w:val="00CF4BA4"/>
    <w:rsid w:val="00CF4F08"/>
    <w:rsid w:val="00CF5A83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4E9F"/>
    <w:rsid w:val="00D07282"/>
    <w:rsid w:val="00D0747E"/>
    <w:rsid w:val="00D07A06"/>
    <w:rsid w:val="00D07F87"/>
    <w:rsid w:val="00D100FF"/>
    <w:rsid w:val="00D10306"/>
    <w:rsid w:val="00D10642"/>
    <w:rsid w:val="00D118BB"/>
    <w:rsid w:val="00D11B22"/>
    <w:rsid w:val="00D12B39"/>
    <w:rsid w:val="00D12BA6"/>
    <w:rsid w:val="00D14393"/>
    <w:rsid w:val="00D14619"/>
    <w:rsid w:val="00D1511E"/>
    <w:rsid w:val="00D1582D"/>
    <w:rsid w:val="00D15EF5"/>
    <w:rsid w:val="00D16751"/>
    <w:rsid w:val="00D1712D"/>
    <w:rsid w:val="00D17896"/>
    <w:rsid w:val="00D17CD2"/>
    <w:rsid w:val="00D17D13"/>
    <w:rsid w:val="00D21604"/>
    <w:rsid w:val="00D21E6B"/>
    <w:rsid w:val="00D22F31"/>
    <w:rsid w:val="00D23477"/>
    <w:rsid w:val="00D239E3"/>
    <w:rsid w:val="00D246ED"/>
    <w:rsid w:val="00D24F1F"/>
    <w:rsid w:val="00D25F2A"/>
    <w:rsid w:val="00D27FCF"/>
    <w:rsid w:val="00D30130"/>
    <w:rsid w:val="00D308CB"/>
    <w:rsid w:val="00D315DB"/>
    <w:rsid w:val="00D318A4"/>
    <w:rsid w:val="00D31BF4"/>
    <w:rsid w:val="00D32238"/>
    <w:rsid w:val="00D3266F"/>
    <w:rsid w:val="00D34490"/>
    <w:rsid w:val="00D34C08"/>
    <w:rsid w:val="00D34DB7"/>
    <w:rsid w:val="00D375CA"/>
    <w:rsid w:val="00D37A53"/>
    <w:rsid w:val="00D37F45"/>
    <w:rsid w:val="00D40522"/>
    <w:rsid w:val="00D40FD0"/>
    <w:rsid w:val="00D41AAA"/>
    <w:rsid w:val="00D42779"/>
    <w:rsid w:val="00D456FA"/>
    <w:rsid w:val="00D458D5"/>
    <w:rsid w:val="00D462ED"/>
    <w:rsid w:val="00D466A9"/>
    <w:rsid w:val="00D47373"/>
    <w:rsid w:val="00D502CC"/>
    <w:rsid w:val="00D5099D"/>
    <w:rsid w:val="00D51071"/>
    <w:rsid w:val="00D51D1C"/>
    <w:rsid w:val="00D53973"/>
    <w:rsid w:val="00D53D40"/>
    <w:rsid w:val="00D54095"/>
    <w:rsid w:val="00D540CB"/>
    <w:rsid w:val="00D5460E"/>
    <w:rsid w:val="00D54713"/>
    <w:rsid w:val="00D55CFF"/>
    <w:rsid w:val="00D56354"/>
    <w:rsid w:val="00D6167D"/>
    <w:rsid w:val="00D61B2A"/>
    <w:rsid w:val="00D634CC"/>
    <w:rsid w:val="00D6473F"/>
    <w:rsid w:val="00D64A4A"/>
    <w:rsid w:val="00D65912"/>
    <w:rsid w:val="00D65C41"/>
    <w:rsid w:val="00D666BC"/>
    <w:rsid w:val="00D6677E"/>
    <w:rsid w:val="00D67AF4"/>
    <w:rsid w:val="00D67DF7"/>
    <w:rsid w:val="00D71FD6"/>
    <w:rsid w:val="00D724E1"/>
    <w:rsid w:val="00D7275C"/>
    <w:rsid w:val="00D72B37"/>
    <w:rsid w:val="00D73193"/>
    <w:rsid w:val="00D74837"/>
    <w:rsid w:val="00D75442"/>
    <w:rsid w:val="00D754C3"/>
    <w:rsid w:val="00D763ED"/>
    <w:rsid w:val="00D76564"/>
    <w:rsid w:val="00D766C7"/>
    <w:rsid w:val="00D77AA9"/>
    <w:rsid w:val="00D80164"/>
    <w:rsid w:val="00D81B32"/>
    <w:rsid w:val="00D82A6E"/>
    <w:rsid w:val="00D830C8"/>
    <w:rsid w:val="00D85F3B"/>
    <w:rsid w:val="00D86153"/>
    <w:rsid w:val="00D87B12"/>
    <w:rsid w:val="00D90579"/>
    <w:rsid w:val="00D90A94"/>
    <w:rsid w:val="00D910D9"/>
    <w:rsid w:val="00D91156"/>
    <w:rsid w:val="00D91C9C"/>
    <w:rsid w:val="00D923BB"/>
    <w:rsid w:val="00D9277E"/>
    <w:rsid w:val="00D92A36"/>
    <w:rsid w:val="00D92BB9"/>
    <w:rsid w:val="00D93129"/>
    <w:rsid w:val="00D9381D"/>
    <w:rsid w:val="00D943FF"/>
    <w:rsid w:val="00D9665E"/>
    <w:rsid w:val="00D972B2"/>
    <w:rsid w:val="00D97B94"/>
    <w:rsid w:val="00D97C22"/>
    <w:rsid w:val="00D97E48"/>
    <w:rsid w:val="00DA0755"/>
    <w:rsid w:val="00DA16CF"/>
    <w:rsid w:val="00DA1CC9"/>
    <w:rsid w:val="00DA2066"/>
    <w:rsid w:val="00DA2DD2"/>
    <w:rsid w:val="00DA2DEF"/>
    <w:rsid w:val="00DA429E"/>
    <w:rsid w:val="00DA44A8"/>
    <w:rsid w:val="00DA4709"/>
    <w:rsid w:val="00DA4EE2"/>
    <w:rsid w:val="00DA50A1"/>
    <w:rsid w:val="00DA5829"/>
    <w:rsid w:val="00DA5B07"/>
    <w:rsid w:val="00DA66A0"/>
    <w:rsid w:val="00DA66D4"/>
    <w:rsid w:val="00DA6957"/>
    <w:rsid w:val="00DA6BC3"/>
    <w:rsid w:val="00DB0645"/>
    <w:rsid w:val="00DB19AD"/>
    <w:rsid w:val="00DB2EF1"/>
    <w:rsid w:val="00DB3871"/>
    <w:rsid w:val="00DB440D"/>
    <w:rsid w:val="00DB49C8"/>
    <w:rsid w:val="00DB59D9"/>
    <w:rsid w:val="00DB5A74"/>
    <w:rsid w:val="00DB63E1"/>
    <w:rsid w:val="00DB6FE7"/>
    <w:rsid w:val="00DB7238"/>
    <w:rsid w:val="00DB79D6"/>
    <w:rsid w:val="00DB7C42"/>
    <w:rsid w:val="00DB7FC5"/>
    <w:rsid w:val="00DC072C"/>
    <w:rsid w:val="00DC18F8"/>
    <w:rsid w:val="00DC1989"/>
    <w:rsid w:val="00DC2F28"/>
    <w:rsid w:val="00DC2F4C"/>
    <w:rsid w:val="00DC342A"/>
    <w:rsid w:val="00DC4F3B"/>
    <w:rsid w:val="00DC561D"/>
    <w:rsid w:val="00DC582C"/>
    <w:rsid w:val="00DC66D1"/>
    <w:rsid w:val="00DD1BB5"/>
    <w:rsid w:val="00DD1D96"/>
    <w:rsid w:val="00DD2826"/>
    <w:rsid w:val="00DD38E3"/>
    <w:rsid w:val="00DD3B6B"/>
    <w:rsid w:val="00DD3E30"/>
    <w:rsid w:val="00DD5D4B"/>
    <w:rsid w:val="00DD645E"/>
    <w:rsid w:val="00DD6801"/>
    <w:rsid w:val="00DD6E76"/>
    <w:rsid w:val="00DD7427"/>
    <w:rsid w:val="00DE0370"/>
    <w:rsid w:val="00DE1235"/>
    <w:rsid w:val="00DE243F"/>
    <w:rsid w:val="00DE2881"/>
    <w:rsid w:val="00DE2A5E"/>
    <w:rsid w:val="00DE3B11"/>
    <w:rsid w:val="00DE3E3C"/>
    <w:rsid w:val="00DE447F"/>
    <w:rsid w:val="00DE483E"/>
    <w:rsid w:val="00DE4D66"/>
    <w:rsid w:val="00DE5855"/>
    <w:rsid w:val="00DE5E8B"/>
    <w:rsid w:val="00DE642D"/>
    <w:rsid w:val="00DE678C"/>
    <w:rsid w:val="00DE703A"/>
    <w:rsid w:val="00DE7040"/>
    <w:rsid w:val="00DE7C9D"/>
    <w:rsid w:val="00DE7F4A"/>
    <w:rsid w:val="00DE7FE2"/>
    <w:rsid w:val="00DF066C"/>
    <w:rsid w:val="00DF07DF"/>
    <w:rsid w:val="00DF2565"/>
    <w:rsid w:val="00DF4B0D"/>
    <w:rsid w:val="00DF58A2"/>
    <w:rsid w:val="00DF5D87"/>
    <w:rsid w:val="00DF6A2E"/>
    <w:rsid w:val="00DF73B8"/>
    <w:rsid w:val="00E01383"/>
    <w:rsid w:val="00E022BC"/>
    <w:rsid w:val="00E02672"/>
    <w:rsid w:val="00E027E9"/>
    <w:rsid w:val="00E03097"/>
    <w:rsid w:val="00E03DEE"/>
    <w:rsid w:val="00E05518"/>
    <w:rsid w:val="00E05A88"/>
    <w:rsid w:val="00E060D4"/>
    <w:rsid w:val="00E07672"/>
    <w:rsid w:val="00E103ED"/>
    <w:rsid w:val="00E10A4D"/>
    <w:rsid w:val="00E10D07"/>
    <w:rsid w:val="00E10DD3"/>
    <w:rsid w:val="00E11778"/>
    <w:rsid w:val="00E11B92"/>
    <w:rsid w:val="00E12881"/>
    <w:rsid w:val="00E137C7"/>
    <w:rsid w:val="00E13B6C"/>
    <w:rsid w:val="00E165D0"/>
    <w:rsid w:val="00E16C1E"/>
    <w:rsid w:val="00E17616"/>
    <w:rsid w:val="00E17D85"/>
    <w:rsid w:val="00E21574"/>
    <w:rsid w:val="00E21F9A"/>
    <w:rsid w:val="00E22033"/>
    <w:rsid w:val="00E22564"/>
    <w:rsid w:val="00E22C8B"/>
    <w:rsid w:val="00E2305C"/>
    <w:rsid w:val="00E23956"/>
    <w:rsid w:val="00E23E9C"/>
    <w:rsid w:val="00E26897"/>
    <w:rsid w:val="00E273C9"/>
    <w:rsid w:val="00E313DA"/>
    <w:rsid w:val="00E3270B"/>
    <w:rsid w:val="00E3299E"/>
    <w:rsid w:val="00E338D6"/>
    <w:rsid w:val="00E33A29"/>
    <w:rsid w:val="00E35785"/>
    <w:rsid w:val="00E35C07"/>
    <w:rsid w:val="00E370E1"/>
    <w:rsid w:val="00E375D1"/>
    <w:rsid w:val="00E402F5"/>
    <w:rsid w:val="00E403C7"/>
    <w:rsid w:val="00E417D2"/>
    <w:rsid w:val="00E418A3"/>
    <w:rsid w:val="00E41923"/>
    <w:rsid w:val="00E42BEA"/>
    <w:rsid w:val="00E42DC6"/>
    <w:rsid w:val="00E43BCA"/>
    <w:rsid w:val="00E44C7B"/>
    <w:rsid w:val="00E452AD"/>
    <w:rsid w:val="00E4577A"/>
    <w:rsid w:val="00E4697B"/>
    <w:rsid w:val="00E46A89"/>
    <w:rsid w:val="00E47683"/>
    <w:rsid w:val="00E505C4"/>
    <w:rsid w:val="00E507BA"/>
    <w:rsid w:val="00E51D20"/>
    <w:rsid w:val="00E51DE1"/>
    <w:rsid w:val="00E525D4"/>
    <w:rsid w:val="00E5321F"/>
    <w:rsid w:val="00E53A8C"/>
    <w:rsid w:val="00E54604"/>
    <w:rsid w:val="00E54E3B"/>
    <w:rsid w:val="00E54E79"/>
    <w:rsid w:val="00E55112"/>
    <w:rsid w:val="00E55E3E"/>
    <w:rsid w:val="00E57428"/>
    <w:rsid w:val="00E5745B"/>
    <w:rsid w:val="00E6062E"/>
    <w:rsid w:val="00E60B2C"/>
    <w:rsid w:val="00E6170E"/>
    <w:rsid w:val="00E62A9C"/>
    <w:rsid w:val="00E6457E"/>
    <w:rsid w:val="00E64DC7"/>
    <w:rsid w:val="00E650D2"/>
    <w:rsid w:val="00E6562D"/>
    <w:rsid w:val="00E666FD"/>
    <w:rsid w:val="00E6678A"/>
    <w:rsid w:val="00E66A0A"/>
    <w:rsid w:val="00E677F8"/>
    <w:rsid w:val="00E71F54"/>
    <w:rsid w:val="00E72117"/>
    <w:rsid w:val="00E73218"/>
    <w:rsid w:val="00E73577"/>
    <w:rsid w:val="00E73C7A"/>
    <w:rsid w:val="00E746C3"/>
    <w:rsid w:val="00E75301"/>
    <w:rsid w:val="00E7542B"/>
    <w:rsid w:val="00E75CBB"/>
    <w:rsid w:val="00E75E71"/>
    <w:rsid w:val="00E76AF8"/>
    <w:rsid w:val="00E76C0C"/>
    <w:rsid w:val="00E77AF4"/>
    <w:rsid w:val="00E77D2D"/>
    <w:rsid w:val="00E8003A"/>
    <w:rsid w:val="00E812D7"/>
    <w:rsid w:val="00E81570"/>
    <w:rsid w:val="00E81965"/>
    <w:rsid w:val="00E81A70"/>
    <w:rsid w:val="00E82150"/>
    <w:rsid w:val="00E833A4"/>
    <w:rsid w:val="00E8355D"/>
    <w:rsid w:val="00E847D6"/>
    <w:rsid w:val="00E855ED"/>
    <w:rsid w:val="00E862BC"/>
    <w:rsid w:val="00E8661C"/>
    <w:rsid w:val="00E869CE"/>
    <w:rsid w:val="00E87791"/>
    <w:rsid w:val="00E877C2"/>
    <w:rsid w:val="00E902D4"/>
    <w:rsid w:val="00E90B2C"/>
    <w:rsid w:val="00E91B80"/>
    <w:rsid w:val="00E9243A"/>
    <w:rsid w:val="00E924C6"/>
    <w:rsid w:val="00E92DF4"/>
    <w:rsid w:val="00E9474C"/>
    <w:rsid w:val="00E9480A"/>
    <w:rsid w:val="00E94A3F"/>
    <w:rsid w:val="00E952CB"/>
    <w:rsid w:val="00E972C4"/>
    <w:rsid w:val="00E97302"/>
    <w:rsid w:val="00E9760E"/>
    <w:rsid w:val="00E97D4A"/>
    <w:rsid w:val="00EA0A30"/>
    <w:rsid w:val="00EA154D"/>
    <w:rsid w:val="00EA1CE8"/>
    <w:rsid w:val="00EA229A"/>
    <w:rsid w:val="00EA2942"/>
    <w:rsid w:val="00EA30F4"/>
    <w:rsid w:val="00EA390E"/>
    <w:rsid w:val="00EA3F1B"/>
    <w:rsid w:val="00EA48E5"/>
    <w:rsid w:val="00EA5F56"/>
    <w:rsid w:val="00EA612E"/>
    <w:rsid w:val="00EA6144"/>
    <w:rsid w:val="00EA6883"/>
    <w:rsid w:val="00EA697C"/>
    <w:rsid w:val="00EA72E1"/>
    <w:rsid w:val="00EA7B10"/>
    <w:rsid w:val="00EA7DEA"/>
    <w:rsid w:val="00EA7EFB"/>
    <w:rsid w:val="00EB068D"/>
    <w:rsid w:val="00EB1285"/>
    <w:rsid w:val="00EB14B5"/>
    <w:rsid w:val="00EB21EF"/>
    <w:rsid w:val="00EB2235"/>
    <w:rsid w:val="00EB269A"/>
    <w:rsid w:val="00EB2884"/>
    <w:rsid w:val="00EB2B1B"/>
    <w:rsid w:val="00EB346D"/>
    <w:rsid w:val="00EB3F0C"/>
    <w:rsid w:val="00EB400D"/>
    <w:rsid w:val="00EB5681"/>
    <w:rsid w:val="00EB5C5F"/>
    <w:rsid w:val="00EB725B"/>
    <w:rsid w:val="00EB7C88"/>
    <w:rsid w:val="00EC09CB"/>
    <w:rsid w:val="00EC0CBF"/>
    <w:rsid w:val="00EC18C9"/>
    <w:rsid w:val="00EC1909"/>
    <w:rsid w:val="00EC1BFF"/>
    <w:rsid w:val="00EC1CF6"/>
    <w:rsid w:val="00EC2B50"/>
    <w:rsid w:val="00EC3F5D"/>
    <w:rsid w:val="00EC4828"/>
    <w:rsid w:val="00EC6186"/>
    <w:rsid w:val="00EC618F"/>
    <w:rsid w:val="00EC6981"/>
    <w:rsid w:val="00EC69FA"/>
    <w:rsid w:val="00EC6B6A"/>
    <w:rsid w:val="00EC6C85"/>
    <w:rsid w:val="00EC6C9A"/>
    <w:rsid w:val="00ED0292"/>
    <w:rsid w:val="00ED0667"/>
    <w:rsid w:val="00ED103A"/>
    <w:rsid w:val="00ED145D"/>
    <w:rsid w:val="00ED19EE"/>
    <w:rsid w:val="00ED208D"/>
    <w:rsid w:val="00ED274C"/>
    <w:rsid w:val="00ED44B1"/>
    <w:rsid w:val="00ED453C"/>
    <w:rsid w:val="00ED64A2"/>
    <w:rsid w:val="00ED690B"/>
    <w:rsid w:val="00ED6EB2"/>
    <w:rsid w:val="00EE02FE"/>
    <w:rsid w:val="00EE15F5"/>
    <w:rsid w:val="00EE2E2C"/>
    <w:rsid w:val="00EE48B0"/>
    <w:rsid w:val="00EE5FDF"/>
    <w:rsid w:val="00EE6411"/>
    <w:rsid w:val="00EE78AE"/>
    <w:rsid w:val="00EF0DA8"/>
    <w:rsid w:val="00EF161D"/>
    <w:rsid w:val="00EF2051"/>
    <w:rsid w:val="00EF23C7"/>
    <w:rsid w:val="00EF2B2D"/>
    <w:rsid w:val="00EF321F"/>
    <w:rsid w:val="00EF431E"/>
    <w:rsid w:val="00EF5F22"/>
    <w:rsid w:val="00EF67A4"/>
    <w:rsid w:val="00F00A2B"/>
    <w:rsid w:val="00F00DF2"/>
    <w:rsid w:val="00F01314"/>
    <w:rsid w:val="00F01E22"/>
    <w:rsid w:val="00F0230A"/>
    <w:rsid w:val="00F0291B"/>
    <w:rsid w:val="00F02B5D"/>
    <w:rsid w:val="00F04624"/>
    <w:rsid w:val="00F049B3"/>
    <w:rsid w:val="00F04BF6"/>
    <w:rsid w:val="00F050CE"/>
    <w:rsid w:val="00F05F61"/>
    <w:rsid w:val="00F0620B"/>
    <w:rsid w:val="00F06594"/>
    <w:rsid w:val="00F06E1A"/>
    <w:rsid w:val="00F10314"/>
    <w:rsid w:val="00F11604"/>
    <w:rsid w:val="00F11946"/>
    <w:rsid w:val="00F11BA4"/>
    <w:rsid w:val="00F12366"/>
    <w:rsid w:val="00F124CA"/>
    <w:rsid w:val="00F126D4"/>
    <w:rsid w:val="00F130C7"/>
    <w:rsid w:val="00F1386E"/>
    <w:rsid w:val="00F15857"/>
    <w:rsid w:val="00F161E8"/>
    <w:rsid w:val="00F16631"/>
    <w:rsid w:val="00F16C8E"/>
    <w:rsid w:val="00F17A83"/>
    <w:rsid w:val="00F21210"/>
    <w:rsid w:val="00F21944"/>
    <w:rsid w:val="00F21A33"/>
    <w:rsid w:val="00F22838"/>
    <w:rsid w:val="00F22BBA"/>
    <w:rsid w:val="00F22C8C"/>
    <w:rsid w:val="00F24D1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CAF"/>
    <w:rsid w:val="00F3501D"/>
    <w:rsid w:val="00F35121"/>
    <w:rsid w:val="00F35B9D"/>
    <w:rsid w:val="00F36877"/>
    <w:rsid w:val="00F36FF7"/>
    <w:rsid w:val="00F373BB"/>
    <w:rsid w:val="00F40A5D"/>
    <w:rsid w:val="00F40BB7"/>
    <w:rsid w:val="00F415EF"/>
    <w:rsid w:val="00F41704"/>
    <w:rsid w:val="00F42189"/>
    <w:rsid w:val="00F43091"/>
    <w:rsid w:val="00F43114"/>
    <w:rsid w:val="00F45803"/>
    <w:rsid w:val="00F46737"/>
    <w:rsid w:val="00F46B18"/>
    <w:rsid w:val="00F46CE1"/>
    <w:rsid w:val="00F47B93"/>
    <w:rsid w:val="00F50A90"/>
    <w:rsid w:val="00F5115A"/>
    <w:rsid w:val="00F51164"/>
    <w:rsid w:val="00F52709"/>
    <w:rsid w:val="00F52F94"/>
    <w:rsid w:val="00F53FB8"/>
    <w:rsid w:val="00F54CB6"/>
    <w:rsid w:val="00F55461"/>
    <w:rsid w:val="00F556CE"/>
    <w:rsid w:val="00F55B1C"/>
    <w:rsid w:val="00F56BCF"/>
    <w:rsid w:val="00F57265"/>
    <w:rsid w:val="00F6083A"/>
    <w:rsid w:val="00F6143F"/>
    <w:rsid w:val="00F62B1E"/>
    <w:rsid w:val="00F64938"/>
    <w:rsid w:val="00F653C0"/>
    <w:rsid w:val="00F65860"/>
    <w:rsid w:val="00F65E59"/>
    <w:rsid w:val="00F66B48"/>
    <w:rsid w:val="00F66DD6"/>
    <w:rsid w:val="00F675D6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3165"/>
    <w:rsid w:val="00F73A58"/>
    <w:rsid w:val="00F748AA"/>
    <w:rsid w:val="00F77188"/>
    <w:rsid w:val="00F77A8D"/>
    <w:rsid w:val="00F80346"/>
    <w:rsid w:val="00F805AB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57C"/>
    <w:rsid w:val="00F86A85"/>
    <w:rsid w:val="00F876E0"/>
    <w:rsid w:val="00F87CEC"/>
    <w:rsid w:val="00F90524"/>
    <w:rsid w:val="00F90BFE"/>
    <w:rsid w:val="00F90F69"/>
    <w:rsid w:val="00F9217C"/>
    <w:rsid w:val="00F92695"/>
    <w:rsid w:val="00F92708"/>
    <w:rsid w:val="00F932F1"/>
    <w:rsid w:val="00F93427"/>
    <w:rsid w:val="00F93D71"/>
    <w:rsid w:val="00F94584"/>
    <w:rsid w:val="00F956FE"/>
    <w:rsid w:val="00F95A38"/>
    <w:rsid w:val="00F95A45"/>
    <w:rsid w:val="00F96266"/>
    <w:rsid w:val="00F97A70"/>
    <w:rsid w:val="00FA0DA1"/>
    <w:rsid w:val="00FA0DAD"/>
    <w:rsid w:val="00FA1614"/>
    <w:rsid w:val="00FA16B4"/>
    <w:rsid w:val="00FA1776"/>
    <w:rsid w:val="00FA1B32"/>
    <w:rsid w:val="00FA3116"/>
    <w:rsid w:val="00FA4FC5"/>
    <w:rsid w:val="00FA56FF"/>
    <w:rsid w:val="00FA5D3C"/>
    <w:rsid w:val="00FA604B"/>
    <w:rsid w:val="00FA7382"/>
    <w:rsid w:val="00FA7859"/>
    <w:rsid w:val="00FB0A80"/>
    <w:rsid w:val="00FB170E"/>
    <w:rsid w:val="00FB199A"/>
    <w:rsid w:val="00FB20B9"/>
    <w:rsid w:val="00FB331B"/>
    <w:rsid w:val="00FB3B70"/>
    <w:rsid w:val="00FB3FD8"/>
    <w:rsid w:val="00FB5682"/>
    <w:rsid w:val="00FB644B"/>
    <w:rsid w:val="00FB7556"/>
    <w:rsid w:val="00FB76C8"/>
    <w:rsid w:val="00FB7CD3"/>
    <w:rsid w:val="00FB7CFD"/>
    <w:rsid w:val="00FC1393"/>
    <w:rsid w:val="00FC18B4"/>
    <w:rsid w:val="00FC1B13"/>
    <w:rsid w:val="00FC1CD3"/>
    <w:rsid w:val="00FC2EAF"/>
    <w:rsid w:val="00FC2F8B"/>
    <w:rsid w:val="00FC3822"/>
    <w:rsid w:val="00FC42DD"/>
    <w:rsid w:val="00FC4A77"/>
    <w:rsid w:val="00FC5BF3"/>
    <w:rsid w:val="00FC7BFD"/>
    <w:rsid w:val="00FD0E6C"/>
    <w:rsid w:val="00FD1591"/>
    <w:rsid w:val="00FD252F"/>
    <w:rsid w:val="00FD2AD7"/>
    <w:rsid w:val="00FD2C59"/>
    <w:rsid w:val="00FD3EA2"/>
    <w:rsid w:val="00FD55EA"/>
    <w:rsid w:val="00FD59BD"/>
    <w:rsid w:val="00FD6EE6"/>
    <w:rsid w:val="00FD7BDB"/>
    <w:rsid w:val="00FD7DD7"/>
    <w:rsid w:val="00FE16BA"/>
    <w:rsid w:val="00FE2C34"/>
    <w:rsid w:val="00FE3CE8"/>
    <w:rsid w:val="00FE4573"/>
    <w:rsid w:val="00FE45ED"/>
    <w:rsid w:val="00FE5130"/>
    <w:rsid w:val="00FE54AD"/>
    <w:rsid w:val="00FE5E8A"/>
    <w:rsid w:val="00FF0E81"/>
    <w:rsid w:val="00FF1E81"/>
    <w:rsid w:val="00FF2503"/>
    <w:rsid w:val="00FF309B"/>
    <w:rsid w:val="00FF3C32"/>
    <w:rsid w:val="00FF489E"/>
    <w:rsid w:val="00FF5965"/>
    <w:rsid w:val="00FF6182"/>
    <w:rsid w:val="00FF6974"/>
    <w:rsid w:val="00FF6B8D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Theme="minorHAnsi" w:hAnsi="Calibri" w:cstheme="minorBid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Theme="minorHAnsi" w:hAnsi="Calibri" w:cstheme="minorBidi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Theme="minorHAnsi" w:hAnsi="Calibri" w:cstheme="minorBid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Theme="minorHAnsi" w:hAnsi="Calibri" w:cstheme="minorBidi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31"/>
          <c:h val="0.467384765106609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'!$A$41:$B$53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'total and gender '!$D$41:$D$53</c:f>
              <c:numCache>
                <c:formatCode>General</c:formatCode>
                <c:ptCount val="13"/>
                <c:pt idx="0">
                  <c:v>22210</c:v>
                </c:pt>
                <c:pt idx="1">
                  <c:v>20724</c:v>
                </c:pt>
                <c:pt idx="2">
                  <c:v>20288</c:v>
                </c:pt>
                <c:pt idx="3">
                  <c:v>20295</c:v>
                </c:pt>
                <c:pt idx="4">
                  <c:v>19737</c:v>
                </c:pt>
                <c:pt idx="5">
                  <c:v>19379</c:v>
                </c:pt>
                <c:pt idx="6">
                  <c:v>19032</c:v>
                </c:pt>
                <c:pt idx="7">
                  <c:v>21869</c:v>
                </c:pt>
                <c:pt idx="8">
                  <c:v>22617</c:v>
                </c:pt>
                <c:pt idx="9">
                  <c:v>23384</c:v>
                </c:pt>
                <c:pt idx="10">
                  <c:v>23369</c:v>
                </c:pt>
                <c:pt idx="11">
                  <c:v>21712</c:v>
                </c:pt>
                <c:pt idx="12">
                  <c:v>18817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spPr>
            <a:ln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a:ln>
          </c:spPr>
          <c:cat>
            <c:multiLvlStrRef>
              <c:f>'total and gender '!$A$41:$B$53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'total and gender '!$E$41:$E$53</c:f>
              <c:numCache>
                <c:formatCode>General</c:formatCode>
                <c:ptCount val="13"/>
                <c:pt idx="0">
                  <c:v>20341</c:v>
                </c:pt>
                <c:pt idx="1">
                  <c:v>18948</c:v>
                </c:pt>
                <c:pt idx="2">
                  <c:v>20588</c:v>
                </c:pt>
                <c:pt idx="3">
                  <c:v>21881</c:v>
                </c:pt>
                <c:pt idx="4">
                  <c:v>21251</c:v>
                </c:pt>
                <c:pt idx="5">
                  <c:v>18986</c:v>
                </c:pt>
                <c:pt idx="6">
                  <c:v>17984</c:v>
                </c:pt>
                <c:pt idx="7">
                  <c:v>21733</c:v>
                </c:pt>
                <c:pt idx="8">
                  <c:v>21933</c:v>
                </c:pt>
                <c:pt idx="9">
                  <c:v>22585</c:v>
                </c:pt>
                <c:pt idx="10">
                  <c:v>22592</c:v>
                </c:pt>
                <c:pt idx="11">
                  <c:v>21071</c:v>
                </c:pt>
                <c:pt idx="12">
                  <c:v>18169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'!$A$41:$B$53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'total and gender '!$C$41:$C$53</c:f>
              <c:numCache>
                <c:formatCode>#,##0</c:formatCode>
                <c:ptCount val="13"/>
                <c:pt idx="0">
                  <c:v>42551</c:v>
                </c:pt>
                <c:pt idx="1">
                  <c:v>39672</c:v>
                </c:pt>
                <c:pt idx="2">
                  <c:v>40876</c:v>
                </c:pt>
                <c:pt idx="3">
                  <c:v>42176</c:v>
                </c:pt>
                <c:pt idx="4">
                  <c:v>40988</c:v>
                </c:pt>
                <c:pt idx="5">
                  <c:v>38365</c:v>
                </c:pt>
                <c:pt idx="6">
                  <c:v>37016</c:v>
                </c:pt>
                <c:pt idx="7">
                  <c:v>43602</c:v>
                </c:pt>
                <c:pt idx="8">
                  <c:v>44550</c:v>
                </c:pt>
                <c:pt idx="9">
                  <c:v>45969</c:v>
                </c:pt>
                <c:pt idx="10">
                  <c:v>45961</c:v>
                </c:pt>
                <c:pt idx="11">
                  <c:v>42783</c:v>
                </c:pt>
                <c:pt idx="12">
                  <c:v>36986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2944640"/>
        <c:axId val="119223424"/>
      </c:lineChart>
      <c:catAx>
        <c:axId val="22294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23424"/>
        <c:crosses val="autoZero"/>
        <c:auto val="1"/>
        <c:lblAlgn val="ctr"/>
        <c:lblOffset val="100"/>
        <c:noMultiLvlLbl val="0"/>
      </c:catAx>
      <c:valAx>
        <c:axId val="119223424"/>
        <c:scaling>
          <c:orientation val="minMax"/>
          <c:max val="55000"/>
          <c:min val="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44640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l-G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2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'!$Q$1:$AE$2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'επαρχία '!$Q$3:$AE$3</c:f>
              <c:numCache>
                <c:formatCode>General</c:formatCode>
                <c:ptCount val="13"/>
                <c:pt idx="0">
                  <c:v>13601</c:v>
                </c:pt>
                <c:pt idx="1">
                  <c:v>13603</c:v>
                </c:pt>
                <c:pt idx="2">
                  <c:v>14270</c:v>
                </c:pt>
                <c:pt idx="3">
                  <c:v>15060</c:v>
                </c:pt>
                <c:pt idx="4">
                  <c:v>14873</c:v>
                </c:pt>
                <c:pt idx="5">
                  <c:v>13839</c:v>
                </c:pt>
                <c:pt idx="6">
                  <c:v>12796</c:v>
                </c:pt>
                <c:pt idx="7">
                  <c:v>12625</c:v>
                </c:pt>
                <c:pt idx="8">
                  <c:v>12332</c:v>
                </c:pt>
                <c:pt idx="9">
                  <c:v>12472</c:v>
                </c:pt>
                <c:pt idx="10">
                  <c:v>12467</c:v>
                </c:pt>
                <c:pt idx="11">
                  <c:v>12037</c:v>
                </c:pt>
                <c:pt idx="12">
                  <c:v>11484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'!$Q$1:$AE$2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'επαρχία '!$Q$4:$AE$4</c:f>
              <c:numCache>
                <c:formatCode>General</c:formatCode>
                <c:ptCount val="13"/>
                <c:pt idx="0">
                  <c:v>3322</c:v>
                </c:pt>
                <c:pt idx="1">
                  <c:v>1798</c:v>
                </c:pt>
                <c:pt idx="2">
                  <c:v>1631</c:v>
                </c:pt>
                <c:pt idx="3">
                  <c:v>1649</c:v>
                </c:pt>
                <c:pt idx="4">
                  <c:v>1549</c:v>
                </c:pt>
                <c:pt idx="5">
                  <c:v>1405</c:v>
                </c:pt>
                <c:pt idx="6">
                  <c:v>1640</c:v>
                </c:pt>
                <c:pt idx="7">
                  <c:v>5410</c:v>
                </c:pt>
                <c:pt idx="8">
                  <c:v>5948</c:v>
                </c:pt>
                <c:pt idx="9">
                  <c:v>6139</c:v>
                </c:pt>
                <c:pt idx="10">
                  <c:v>6062</c:v>
                </c:pt>
                <c:pt idx="11">
                  <c:v>5163</c:v>
                </c:pt>
                <c:pt idx="12">
                  <c:v>2623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'!$Q$1:$AE$2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'επαρχία '!$Q$5:$AE$5</c:f>
              <c:numCache>
                <c:formatCode>General</c:formatCode>
                <c:ptCount val="13"/>
                <c:pt idx="0">
                  <c:v>8468</c:v>
                </c:pt>
                <c:pt idx="1">
                  <c:v>7808</c:v>
                </c:pt>
                <c:pt idx="2">
                  <c:v>8035</c:v>
                </c:pt>
                <c:pt idx="3">
                  <c:v>8048</c:v>
                </c:pt>
                <c:pt idx="4">
                  <c:v>7784</c:v>
                </c:pt>
                <c:pt idx="5">
                  <c:v>7356</c:v>
                </c:pt>
                <c:pt idx="6">
                  <c:v>7138</c:v>
                </c:pt>
                <c:pt idx="7">
                  <c:v>8370</c:v>
                </c:pt>
                <c:pt idx="8">
                  <c:v>8594</c:v>
                </c:pt>
                <c:pt idx="9">
                  <c:v>8868</c:v>
                </c:pt>
                <c:pt idx="10">
                  <c:v>8879</c:v>
                </c:pt>
                <c:pt idx="11">
                  <c:v>8206</c:v>
                </c:pt>
                <c:pt idx="12">
                  <c:v>7188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'!$Q$1:$AE$2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'επαρχία '!$Q$6:$AE$6</c:f>
              <c:numCache>
                <c:formatCode>General</c:formatCode>
                <c:ptCount val="13"/>
                <c:pt idx="0">
                  <c:v>11824</c:v>
                </c:pt>
                <c:pt idx="1">
                  <c:v>11763</c:v>
                </c:pt>
                <c:pt idx="2">
                  <c:v>12391</c:v>
                </c:pt>
                <c:pt idx="3">
                  <c:v>12962</c:v>
                </c:pt>
                <c:pt idx="4">
                  <c:v>12435</c:v>
                </c:pt>
                <c:pt idx="5">
                  <c:v>11625</c:v>
                </c:pt>
                <c:pt idx="6">
                  <c:v>11287</c:v>
                </c:pt>
                <c:pt idx="7">
                  <c:v>11598</c:v>
                </c:pt>
                <c:pt idx="8">
                  <c:v>11291</c:v>
                </c:pt>
                <c:pt idx="9">
                  <c:v>11730</c:v>
                </c:pt>
                <c:pt idx="10">
                  <c:v>11797</c:v>
                </c:pt>
                <c:pt idx="11">
                  <c:v>11396</c:v>
                </c:pt>
                <c:pt idx="12">
                  <c:v>10819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'!$Q$1:$AE$2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'επαρχία '!$Q$7:$AE$7</c:f>
              <c:numCache>
                <c:formatCode>General</c:formatCode>
                <c:ptCount val="13"/>
                <c:pt idx="0">
                  <c:v>5336</c:v>
                </c:pt>
                <c:pt idx="1">
                  <c:v>4700</c:v>
                </c:pt>
                <c:pt idx="2">
                  <c:v>4548</c:v>
                </c:pt>
                <c:pt idx="3">
                  <c:v>4457</c:v>
                </c:pt>
                <c:pt idx="4">
                  <c:v>4347</c:v>
                </c:pt>
                <c:pt idx="5">
                  <c:v>4140</c:v>
                </c:pt>
                <c:pt idx="6">
                  <c:v>4155</c:v>
                </c:pt>
                <c:pt idx="7">
                  <c:v>5599</c:v>
                </c:pt>
                <c:pt idx="8">
                  <c:v>6385</c:v>
                </c:pt>
                <c:pt idx="9">
                  <c:v>6760</c:v>
                </c:pt>
                <c:pt idx="10">
                  <c:v>6756</c:v>
                </c:pt>
                <c:pt idx="11">
                  <c:v>5981</c:v>
                </c:pt>
                <c:pt idx="12">
                  <c:v>4872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411072"/>
        <c:axId val="119412608"/>
      </c:lineChart>
      <c:catAx>
        <c:axId val="11941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19412608"/>
        <c:crosses val="autoZero"/>
        <c:auto val="1"/>
        <c:lblAlgn val="ctr"/>
        <c:lblOffset val="100"/>
        <c:noMultiLvlLbl val="0"/>
      </c:catAx>
      <c:valAx>
        <c:axId val="11941260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11941107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6"/>
          <c:w val="0.27032967032967908"/>
          <c:h val="0.52525252525251742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'οικονομική '!$AE$9:$AQ$9</c:f>
              <c:numCache>
                <c:formatCode>General</c:formatCode>
                <c:ptCount val="13"/>
                <c:pt idx="0">
                  <c:v>7679</c:v>
                </c:pt>
                <c:pt idx="1">
                  <c:v>7447</c:v>
                </c:pt>
                <c:pt idx="2">
                  <c:v>7284</c:v>
                </c:pt>
                <c:pt idx="3">
                  <c:v>7230</c:v>
                </c:pt>
                <c:pt idx="4">
                  <c:v>7061</c:v>
                </c:pt>
                <c:pt idx="5">
                  <c:v>7089</c:v>
                </c:pt>
                <c:pt idx="6">
                  <c:v>7066</c:v>
                </c:pt>
                <c:pt idx="7">
                  <c:v>7511</c:v>
                </c:pt>
                <c:pt idx="8">
                  <c:v>7323</c:v>
                </c:pt>
                <c:pt idx="9">
                  <c:v>7619</c:v>
                </c:pt>
                <c:pt idx="10">
                  <c:v>7756</c:v>
                </c:pt>
                <c:pt idx="11">
                  <c:v>7475</c:v>
                </c:pt>
                <c:pt idx="12">
                  <c:v>6942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'οικονομική '!$AE$11:$AQ$11</c:f>
              <c:numCache>
                <c:formatCode>General</c:formatCode>
                <c:ptCount val="13"/>
                <c:pt idx="0">
                  <c:v>6566</c:v>
                </c:pt>
                <c:pt idx="1">
                  <c:v>4650</c:v>
                </c:pt>
                <c:pt idx="2">
                  <c:v>4183</c:v>
                </c:pt>
                <c:pt idx="3">
                  <c:v>4011</c:v>
                </c:pt>
                <c:pt idx="4">
                  <c:v>3840</c:v>
                </c:pt>
                <c:pt idx="5">
                  <c:v>3880</c:v>
                </c:pt>
                <c:pt idx="6">
                  <c:v>4220</c:v>
                </c:pt>
                <c:pt idx="7">
                  <c:v>9454</c:v>
                </c:pt>
                <c:pt idx="8">
                  <c:v>10417</c:v>
                </c:pt>
                <c:pt idx="9">
                  <c:v>10737</c:v>
                </c:pt>
                <c:pt idx="10">
                  <c:v>10517</c:v>
                </c:pt>
                <c:pt idx="11">
                  <c:v>8728</c:v>
                </c:pt>
                <c:pt idx="12">
                  <c:v>5492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'οικονομική '!$AE$15:$AQ$15</c:f>
              <c:numCache>
                <c:formatCode>General</c:formatCode>
                <c:ptCount val="13"/>
                <c:pt idx="0">
                  <c:v>4780</c:v>
                </c:pt>
                <c:pt idx="1">
                  <c:v>4395</c:v>
                </c:pt>
                <c:pt idx="2">
                  <c:v>4807</c:v>
                </c:pt>
                <c:pt idx="3">
                  <c:v>4990</c:v>
                </c:pt>
                <c:pt idx="4">
                  <c:v>4809</c:v>
                </c:pt>
                <c:pt idx="5">
                  <c:v>3925</c:v>
                </c:pt>
                <c:pt idx="6">
                  <c:v>3307</c:v>
                </c:pt>
                <c:pt idx="7">
                  <c:v>3547</c:v>
                </c:pt>
                <c:pt idx="8">
                  <c:v>4423</c:v>
                </c:pt>
                <c:pt idx="9">
                  <c:v>4861</c:v>
                </c:pt>
                <c:pt idx="10">
                  <c:v>4982</c:v>
                </c:pt>
                <c:pt idx="11">
                  <c:v>4798</c:v>
                </c:pt>
                <c:pt idx="12">
                  <c:v>4099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356800"/>
        <c:axId val="212661376"/>
      </c:lineChart>
      <c:catAx>
        <c:axId val="11935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2661376"/>
        <c:crosses val="autoZero"/>
        <c:auto val="1"/>
        <c:lblAlgn val="ctr"/>
        <c:lblOffset val="100"/>
        <c:noMultiLvlLbl val="0"/>
      </c:catAx>
      <c:valAx>
        <c:axId val="21266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119356800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47"/>
          <c:w val="0.25192331347967761"/>
          <c:h val="0.36253829915605795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4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'!$AC$3:$AO$3</c:f>
              <c:numCache>
                <c:formatCode>#,##0</c:formatCode>
                <c:ptCount val="13"/>
                <c:pt idx="0">
                  <c:v>3668</c:v>
                </c:pt>
                <c:pt idx="1">
                  <c:v>3425</c:v>
                </c:pt>
                <c:pt idx="2">
                  <c:v>3581</c:v>
                </c:pt>
                <c:pt idx="3">
                  <c:v>4123</c:v>
                </c:pt>
                <c:pt idx="4">
                  <c:v>3906</c:v>
                </c:pt>
                <c:pt idx="5">
                  <c:v>3784</c:v>
                </c:pt>
                <c:pt idx="6">
                  <c:v>3567</c:v>
                </c:pt>
                <c:pt idx="7">
                  <c:v>4140</c:v>
                </c:pt>
                <c:pt idx="8">
                  <c:v>3945</c:v>
                </c:pt>
                <c:pt idx="9">
                  <c:v>4078</c:v>
                </c:pt>
                <c:pt idx="10">
                  <c:v>4086</c:v>
                </c:pt>
                <c:pt idx="11">
                  <c:v>3748</c:v>
                </c:pt>
                <c:pt idx="12">
                  <c:v>3063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'!$AC$4:$AO$4</c:f>
              <c:numCache>
                <c:formatCode>General</c:formatCode>
                <c:ptCount val="13"/>
                <c:pt idx="0">
                  <c:v>6299</c:v>
                </c:pt>
                <c:pt idx="1">
                  <c:v>6055</c:v>
                </c:pt>
                <c:pt idx="2">
                  <c:v>6531</c:v>
                </c:pt>
                <c:pt idx="3">
                  <c:v>6822</c:v>
                </c:pt>
                <c:pt idx="4" formatCode="#,##0">
                  <c:v>6528</c:v>
                </c:pt>
                <c:pt idx="5" formatCode="#,##0">
                  <c:v>6005</c:v>
                </c:pt>
                <c:pt idx="6" formatCode="#,##0">
                  <c:v>5584</c:v>
                </c:pt>
                <c:pt idx="7" formatCode="#,##0">
                  <c:v>6528</c:v>
                </c:pt>
                <c:pt idx="8" formatCode="#,##0">
                  <c:v>6481</c:v>
                </c:pt>
                <c:pt idx="9">
                  <c:v>6699</c:v>
                </c:pt>
                <c:pt idx="10" formatCode="#,##0">
                  <c:v>6684</c:v>
                </c:pt>
                <c:pt idx="11" formatCode="#,##0">
                  <c:v>6169</c:v>
                </c:pt>
                <c:pt idx="12" formatCode="#,##0">
                  <c:v>5304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'!$AC$5:$AO$5</c:f>
              <c:numCache>
                <c:formatCode>General</c:formatCode>
                <c:ptCount val="13"/>
                <c:pt idx="0">
                  <c:v>10133</c:v>
                </c:pt>
                <c:pt idx="1">
                  <c:v>9434</c:v>
                </c:pt>
                <c:pt idx="2">
                  <c:v>10140</c:v>
                </c:pt>
                <c:pt idx="3">
                  <c:v>10493</c:v>
                </c:pt>
                <c:pt idx="4" formatCode="#,##0">
                  <c:v>10377</c:v>
                </c:pt>
                <c:pt idx="5" formatCode="#,##0">
                  <c:v>9418</c:v>
                </c:pt>
                <c:pt idx="6" formatCode="#,##0">
                  <c:v>8898</c:v>
                </c:pt>
                <c:pt idx="7" formatCode="#,##0">
                  <c:v>10575</c:v>
                </c:pt>
                <c:pt idx="8" formatCode="#,##0">
                  <c:v>10989</c:v>
                </c:pt>
                <c:pt idx="9">
                  <c:v>11464</c:v>
                </c:pt>
                <c:pt idx="10" formatCode="#,##0">
                  <c:v>11571</c:v>
                </c:pt>
                <c:pt idx="11" formatCode="#,##0">
                  <c:v>10773</c:v>
                </c:pt>
                <c:pt idx="12" formatCode="#,##0">
                  <c:v>9290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'!$AC$6:$AO$6</c:f>
              <c:numCache>
                <c:formatCode>General</c:formatCode>
                <c:ptCount val="13"/>
                <c:pt idx="0">
                  <c:v>8138</c:v>
                </c:pt>
                <c:pt idx="1">
                  <c:v>7357</c:v>
                </c:pt>
                <c:pt idx="2">
                  <c:v>7335</c:v>
                </c:pt>
                <c:pt idx="3">
                  <c:v>7456</c:v>
                </c:pt>
                <c:pt idx="4" formatCode="#,##0">
                  <c:v>7267</c:v>
                </c:pt>
                <c:pt idx="5" formatCode="#,##0">
                  <c:v>6831</c:v>
                </c:pt>
                <c:pt idx="6" formatCode="#,##0">
                  <c:v>6791</c:v>
                </c:pt>
                <c:pt idx="7" formatCode="#,##0">
                  <c:v>8453</c:v>
                </c:pt>
                <c:pt idx="8" formatCode="#,##0">
                  <c:v>8807</c:v>
                </c:pt>
                <c:pt idx="9">
                  <c:v>9083</c:v>
                </c:pt>
                <c:pt idx="10" formatCode="#,##0">
                  <c:v>9049</c:v>
                </c:pt>
                <c:pt idx="11" formatCode="#,##0">
                  <c:v>8373</c:v>
                </c:pt>
                <c:pt idx="12" formatCode="#,##0">
                  <c:v>7044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'!$AC$7:$AO$7</c:f>
              <c:numCache>
                <c:formatCode>#,##0</c:formatCode>
                <c:ptCount val="13"/>
                <c:pt idx="0">
                  <c:v>10313</c:v>
                </c:pt>
                <c:pt idx="1">
                  <c:v>9524</c:v>
                </c:pt>
                <c:pt idx="2">
                  <c:v>9421</c:v>
                </c:pt>
                <c:pt idx="3">
                  <c:v>9414</c:v>
                </c:pt>
                <c:pt idx="4">
                  <c:v>9134</c:v>
                </c:pt>
                <c:pt idx="5">
                  <c:v>8619</c:v>
                </c:pt>
                <c:pt idx="6">
                  <c:v>8504</c:v>
                </c:pt>
                <c:pt idx="7">
                  <c:v>9940</c:v>
                </c:pt>
                <c:pt idx="8">
                  <c:v>10260</c:v>
                </c:pt>
                <c:pt idx="9">
                  <c:v>10483</c:v>
                </c:pt>
                <c:pt idx="10">
                  <c:v>10401</c:v>
                </c:pt>
                <c:pt idx="11">
                  <c:v>9730</c:v>
                </c:pt>
                <c:pt idx="12">
                  <c:v>8613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'ηλικία '!$AC$8:$AO$8</c:f>
              <c:numCache>
                <c:formatCode>General</c:formatCode>
                <c:ptCount val="13"/>
                <c:pt idx="0">
                  <c:v>3836</c:v>
                </c:pt>
                <c:pt idx="1">
                  <c:v>3706</c:v>
                </c:pt>
                <c:pt idx="2">
                  <c:v>3692</c:v>
                </c:pt>
                <c:pt idx="3">
                  <c:v>3675</c:v>
                </c:pt>
                <c:pt idx="4" formatCode="#,##0">
                  <c:v>3596</c:v>
                </c:pt>
                <c:pt idx="5" formatCode="#,##0">
                  <c:v>3529</c:v>
                </c:pt>
                <c:pt idx="6" formatCode="#,##0">
                  <c:v>3479</c:v>
                </c:pt>
                <c:pt idx="7" formatCode="#,##0">
                  <c:v>3774</c:v>
                </c:pt>
                <c:pt idx="8" formatCode="#,##0">
                  <c:v>3875</c:v>
                </c:pt>
                <c:pt idx="9">
                  <c:v>3968</c:v>
                </c:pt>
                <c:pt idx="10" formatCode="#,##0">
                  <c:v>3964</c:v>
                </c:pt>
                <c:pt idx="11" formatCode="#,##0">
                  <c:v>3789</c:v>
                </c:pt>
                <c:pt idx="12" formatCode="#,##0">
                  <c:v>3484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288064"/>
        <c:axId val="213289600"/>
      </c:lineChart>
      <c:catAx>
        <c:axId val="2132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13289600"/>
        <c:crosses val="autoZero"/>
        <c:auto val="1"/>
        <c:lblAlgn val="ctr"/>
        <c:lblOffset val="100"/>
        <c:noMultiLvlLbl val="0"/>
      </c:catAx>
      <c:valAx>
        <c:axId val="2132896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l-GR"/>
          </a:p>
        </c:txPr>
        <c:crossAx val="21328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47"/>
          <c:w val="0.1426893883586797"/>
          <c:h val="0.4595317867145801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l-G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l-G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διάρκεια εγγραφής τους τελευταίους 12 μήνες </a:t>
            </a:r>
          </a:p>
        </c:rich>
      </c:tx>
      <c:layout>
        <c:manualLayout>
          <c:xMode val="edge"/>
          <c:yMode val="edge"/>
          <c:x val="0.13615023474178403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42"/>
          <c:w val="0.65944704164689982"/>
          <c:h val="0.38490536115010426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'!$A$8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'διάρκεια '!$AC$8:$AO$8</c:f>
              <c:numCache>
                <c:formatCode>General</c:formatCode>
                <c:ptCount val="13"/>
                <c:pt idx="0">
                  <c:v>20377</c:v>
                </c:pt>
                <c:pt idx="1">
                  <c:v>20876</c:v>
                </c:pt>
                <c:pt idx="2">
                  <c:v>19601</c:v>
                </c:pt>
                <c:pt idx="3">
                  <c:v>19433</c:v>
                </c:pt>
                <c:pt idx="4">
                  <c:v>19333</c:v>
                </c:pt>
                <c:pt idx="5">
                  <c:v>18784</c:v>
                </c:pt>
                <c:pt idx="6">
                  <c:v>18528</c:v>
                </c:pt>
                <c:pt idx="7">
                  <c:v>18387</c:v>
                </c:pt>
                <c:pt idx="8">
                  <c:v>18163</c:v>
                </c:pt>
                <c:pt idx="9">
                  <c:v>18649</c:v>
                </c:pt>
                <c:pt idx="10">
                  <c:v>18837</c:v>
                </c:pt>
                <c:pt idx="11">
                  <c:v>18856</c:v>
                </c:pt>
                <c:pt idx="12">
                  <c:v>19118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'!$A$7</c:f>
              <c:strCache>
                <c:ptCount val="1"/>
                <c:pt idx="0">
                  <c:v>12 ΜΗΝΕΣ ΚΑΙ ΠΑΝΩ</c:v>
                </c:pt>
              </c:strCache>
            </c:strRef>
          </c:tx>
          <c:cat>
            <c:multiLvlStrRef>
              <c:f>'διάρκεια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'διάρκεια '!$AC$7:$AO$7</c:f>
              <c:numCache>
                <c:formatCode>General</c:formatCode>
                <c:ptCount val="13"/>
                <c:pt idx="0">
                  <c:v>12280</c:v>
                </c:pt>
                <c:pt idx="1">
                  <c:v>12412</c:v>
                </c:pt>
                <c:pt idx="2">
                  <c:v>12346</c:v>
                </c:pt>
                <c:pt idx="3">
                  <c:v>12368</c:v>
                </c:pt>
                <c:pt idx="4">
                  <c:v>12388</c:v>
                </c:pt>
                <c:pt idx="5">
                  <c:v>12143</c:v>
                </c:pt>
                <c:pt idx="6">
                  <c:v>12141</c:v>
                </c:pt>
                <c:pt idx="7">
                  <c:v>12131</c:v>
                </c:pt>
                <c:pt idx="8">
                  <c:v>11882</c:v>
                </c:pt>
                <c:pt idx="9">
                  <c:v>12225</c:v>
                </c:pt>
                <c:pt idx="10">
                  <c:v>12192</c:v>
                </c:pt>
                <c:pt idx="11">
                  <c:v>12161</c:v>
                </c:pt>
                <c:pt idx="12">
                  <c:v>12112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05376"/>
        <c:axId val="213615360"/>
      </c:lineChart>
      <c:catAx>
        <c:axId val="21360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3615360"/>
        <c:crosses val="autoZero"/>
        <c:auto val="1"/>
        <c:lblAlgn val="ctr"/>
        <c:lblOffset val="100"/>
        <c:noMultiLvlLbl val="0"/>
      </c:catAx>
      <c:valAx>
        <c:axId val="213615360"/>
        <c:scaling>
          <c:orientation val="minMax"/>
          <c:min val="80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3605376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7127637346720668"/>
          <c:y val="0.19089146775118698"/>
          <c:w val="0.22535211267605632"/>
          <c:h val="0.4444444444444444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3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6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μόρφωση!$AC$8:$AO$8</c:f>
              <c:numCache>
                <c:formatCode>#,##0</c:formatCode>
                <c:ptCount val="13"/>
                <c:pt idx="0">
                  <c:v>21655</c:v>
                </c:pt>
                <c:pt idx="1">
                  <c:v>19785</c:v>
                </c:pt>
                <c:pt idx="2">
                  <c:v>19456</c:v>
                </c:pt>
                <c:pt idx="3">
                  <c:v>19705</c:v>
                </c:pt>
                <c:pt idx="4">
                  <c:v>19221</c:v>
                </c:pt>
                <c:pt idx="5">
                  <c:v>18441</c:v>
                </c:pt>
                <c:pt idx="6">
                  <c:v>18215</c:v>
                </c:pt>
                <c:pt idx="7">
                  <c:v>22229</c:v>
                </c:pt>
                <c:pt idx="8">
                  <c:v>22763</c:v>
                </c:pt>
                <c:pt idx="9">
                  <c:v>23529</c:v>
                </c:pt>
                <c:pt idx="10">
                  <c:v>23604</c:v>
                </c:pt>
                <c:pt idx="11">
                  <c:v>21784</c:v>
                </c:pt>
                <c:pt idx="12">
                  <c:v>18300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μόρφωση!$AC$9:$AO$9</c:f>
              <c:numCache>
                <c:formatCode>General</c:formatCode>
                <c:ptCount val="13"/>
                <c:pt idx="0">
                  <c:v>11447</c:v>
                </c:pt>
                <c:pt idx="1">
                  <c:v>11495</c:v>
                </c:pt>
                <c:pt idx="2">
                  <c:v>13421</c:v>
                </c:pt>
                <c:pt idx="3">
                  <c:v>14668</c:v>
                </c:pt>
                <c:pt idx="4">
                  <c:v>14227</c:v>
                </c:pt>
                <c:pt idx="5">
                  <c:v>12440</c:v>
                </c:pt>
                <c:pt idx="6">
                  <c:v>11192</c:v>
                </c:pt>
                <c:pt idx="7">
                  <c:v>11434</c:v>
                </c:pt>
                <c:pt idx="8">
                  <c:v>11233</c:v>
                </c:pt>
                <c:pt idx="9" formatCode="#,##0">
                  <c:v>11433</c:v>
                </c:pt>
                <c:pt idx="10" formatCode="#,##0">
                  <c:v>11431</c:v>
                </c:pt>
                <c:pt idx="11" formatCode="#,##0">
                  <c:v>11079</c:v>
                </c:pt>
                <c:pt idx="12" formatCode="#,##0">
                  <c:v>10447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μόρφωση!$AC$5:$AO$5</c:f>
              <c:numCache>
                <c:formatCode>#,##0</c:formatCode>
                <c:ptCount val="13"/>
                <c:pt idx="0">
                  <c:v>9449</c:v>
                </c:pt>
                <c:pt idx="1">
                  <c:v>8392</c:v>
                </c:pt>
                <c:pt idx="2">
                  <c:v>7999</c:v>
                </c:pt>
                <c:pt idx="3">
                  <c:v>7803</c:v>
                </c:pt>
                <c:pt idx="4">
                  <c:v>7540</c:v>
                </c:pt>
                <c:pt idx="5">
                  <c:v>7484</c:v>
                </c:pt>
                <c:pt idx="6">
                  <c:v>7609</c:v>
                </c:pt>
                <c:pt idx="7">
                  <c:v>9939</c:v>
                </c:pt>
                <c:pt idx="8">
                  <c:v>10554</c:v>
                </c:pt>
                <c:pt idx="9">
                  <c:v>11007</c:v>
                </c:pt>
                <c:pt idx="10">
                  <c:v>10926</c:v>
                </c:pt>
                <c:pt idx="11">
                  <c:v>9920</c:v>
                </c:pt>
                <c:pt idx="12">
                  <c:v>8239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743872"/>
        <c:axId val="213819392"/>
      </c:lineChart>
      <c:catAx>
        <c:axId val="2137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3819392"/>
        <c:crosses val="autoZero"/>
        <c:auto val="1"/>
        <c:lblAlgn val="ctr"/>
        <c:lblOffset val="100"/>
        <c:noMultiLvlLbl val="0"/>
      </c:catAx>
      <c:valAx>
        <c:axId val="21381939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374387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74"/>
          <c:y val="0.21780104910888681"/>
          <c:w val="0.24643224113512555"/>
          <c:h val="0.39561740028398457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15671326410285671"/>
          <c:y val="2.499210963115591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74E-2"/>
          <c:y val="0.24094960040107638"/>
          <c:w val="0.58061855670103057"/>
          <c:h val="0.3171048001022389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'υπηκοότητα '!$AC$4:$AO$4</c:f>
              <c:numCache>
                <c:formatCode>General</c:formatCode>
                <c:ptCount val="13"/>
                <c:pt idx="0">
                  <c:v>5395</c:v>
                </c:pt>
                <c:pt idx="1">
                  <c:v>4392</c:v>
                </c:pt>
                <c:pt idx="2">
                  <c:v>4137</c:v>
                </c:pt>
                <c:pt idx="3">
                  <c:v>3963</c:v>
                </c:pt>
                <c:pt idx="4">
                  <c:v>3786</c:v>
                </c:pt>
                <c:pt idx="5">
                  <c:v>3796</c:v>
                </c:pt>
                <c:pt idx="6">
                  <c:v>3957</c:v>
                </c:pt>
                <c:pt idx="7">
                  <c:v>6498</c:v>
                </c:pt>
                <c:pt idx="8">
                  <c:v>6824</c:v>
                </c:pt>
                <c:pt idx="9">
                  <c:v>7187</c:v>
                </c:pt>
                <c:pt idx="10">
                  <c:v>7169</c:v>
                </c:pt>
                <c:pt idx="11">
                  <c:v>6246</c:v>
                </c:pt>
                <c:pt idx="12">
                  <c:v>4536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'υπηκοότητα '!$AC$5:$AO$5</c:f>
              <c:numCache>
                <c:formatCode>General</c:formatCode>
                <c:ptCount val="13"/>
                <c:pt idx="0">
                  <c:v>1682</c:v>
                </c:pt>
                <c:pt idx="1">
                  <c:v>1525</c:v>
                </c:pt>
                <c:pt idx="2">
                  <c:v>1431</c:v>
                </c:pt>
                <c:pt idx="3">
                  <c:v>1359</c:v>
                </c:pt>
                <c:pt idx="4">
                  <c:v>1302</c:v>
                </c:pt>
                <c:pt idx="5">
                  <c:v>1353</c:v>
                </c:pt>
                <c:pt idx="6">
                  <c:v>1372</c:v>
                </c:pt>
                <c:pt idx="7">
                  <c:v>1703</c:v>
                </c:pt>
                <c:pt idx="8">
                  <c:v>1791</c:v>
                </c:pt>
                <c:pt idx="9">
                  <c:v>1847</c:v>
                </c:pt>
                <c:pt idx="10">
                  <c:v>1885</c:v>
                </c:pt>
                <c:pt idx="11">
                  <c:v>1735</c:v>
                </c:pt>
                <c:pt idx="12">
                  <c:v>1490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'υπηκοότητα '!$AC$8:$AO$8</c:f>
              <c:numCache>
                <c:formatCode>General</c:formatCode>
                <c:ptCount val="13"/>
                <c:pt idx="0">
                  <c:v>355</c:v>
                </c:pt>
                <c:pt idx="1">
                  <c:v>396</c:v>
                </c:pt>
                <c:pt idx="2">
                  <c:v>419</c:v>
                </c:pt>
                <c:pt idx="3">
                  <c:v>458</c:v>
                </c:pt>
                <c:pt idx="4">
                  <c:v>502</c:v>
                </c:pt>
                <c:pt idx="5">
                  <c:v>565</c:v>
                </c:pt>
                <c:pt idx="6">
                  <c:v>607</c:v>
                </c:pt>
                <c:pt idx="7">
                  <c:v>680</c:v>
                </c:pt>
                <c:pt idx="8">
                  <c:v>734</c:v>
                </c:pt>
                <c:pt idx="9">
                  <c:v>832</c:v>
                </c:pt>
                <c:pt idx="10">
                  <c:v>888</c:v>
                </c:pt>
                <c:pt idx="11">
                  <c:v>952</c:v>
                </c:pt>
                <c:pt idx="12">
                  <c:v>1004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2015</c:v>
                  </c:pt>
                  <c:pt idx="9">
                    <c:v>2016</c:v>
                  </c:pt>
                </c:lvl>
              </c:multiLvlStrCache>
            </c:multiLvlStrRef>
          </c:cat>
          <c:val>
            <c:numRef>
              <c:f>'υπηκοότητα '!$AC$3:$AO$3</c:f>
              <c:numCache>
                <c:formatCode>General</c:formatCode>
                <c:ptCount val="13"/>
                <c:pt idx="0">
                  <c:v>33177</c:v>
                </c:pt>
                <c:pt idx="1">
                  <c:v>31543</c:v>
                </c:pt>
                <c:pt idx="2">
                  <c:v>33099</c:v>
                </c:pt>
                <c:pt idx="3">
                  <c:v>34676</c:v>
                </c:pt>
                <c:pt idx="4">
                  <c:v>33719</c:v>
                </c:pt>
                <c:pt idx="5">
                  <c:v>30960</c:v>
                </c:pt>
                <c:pt idx="6">
                  <c:v>29368</c:v>
                </c:pt>
                <c:pt idx="7">
                  <c:v>32586</c:v>
                </c:pt>
                <c:pt idx="8">
                  <c:v>33017</c:v>
                </c:pt>
                <c:pt idx="9">
                  <c:v>33817</c:v>
                </c:pt>
                <c:pt idx="10">
                  <c:v>33713</c:v>
                </c:pt>
                <c:pt idx="11">
                  <c:v>31696</c:v>
                </c:pt>
                <c:pt idx="12">
                  <c:v>28024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38784"/>
        <c:axId val="214052864"/>
      </c:lineChart>
      <c:catAx>
        <c:axId val="21403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l-GR"/>
          </a:p>
        </c:txPr>
        <c:crossAx val="214052864"/>
        <c:crosses val="autoZero"/>
        <c:auto val="1"/>
        <c:lblAlgn val="ctr"/>
        <c:lblOffset val="100"/>
        <c:noMultiLvlLbl val="0"/>
      </c:catAx>
      <c:valAx>
        <c:axId val="2140528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l-GR"/>
          </a:p>
        </c:txPr>
        <c:crossAx val="21403878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17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/>
          </a:pPr>
          <a:endParaRPr lang="el-G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36EA-1AEE-4071-B83A-6CA68AE4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1583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Yolanda</dc:creator>
  <cp:lastModifiedBy>Administrator</cp:lastModifiedBy>
  <cp:revision>79</cp:revision>
  <cp:lastPrinted>2016-05-24T07:38:00Z</cp:lastPrinted>
  <dcterms:created xsi:type="dcterms:W3CDTF">2016-03-16T10:28:00Z</dcterms:created>
  <dcterms:modified xsi:type="dcterms:W3CDTF">2016-05-24T07:39:00Z</dcterms:modified>
</cp:coreProperties>
</file>